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بكري - وقيل علي بن عمر
</w:t>
      </w:r>
    </w:p>
    <w:p>
      <w:pPr>
        <w:jc w:val="start"/>
        <w:bidi/>
      </w:pPr>
      <w:r>
        <w:rPr>
          <w:rFonts w:ascii="arial" w:hAnsi="arial" w:eastAsia="arial" w:cs="arial"/>
          <w:sz w:val="28"/>
          <w:szCs w:val="28"/>
          <w:b w:val="1"/>
          <w:bCs w:val="1"/>
          <w:rtl/>
        </w:rPr>
        <w:t xml:space="preserve">علي بن أحمد بن بكري - وقيل علي بن عمر
</w:t>
      </w:r>
    </w:p>
    <w:p>
      <w:pPr/>
      <w:r>
        <w:rPr/>
        <w:t xml:space="preserve">علي بن أحمد بن بكري- وقيل علي بن عمر بن أحمد بن عبد الباقي بن بكري- أبو الحسن خازن دار الكتب بالنظامية: مات في ثامن عشري شهر رمضان سنة خمس وسبعين وخمسمائة، ودفن في الوردية، ولم يعقب، وكان من أهل باب الأزج. له معرفة جيدة بالأدب، قرأ النحو على أبي السعادات ابن الشجري، وقرأ اللغة على أبي منصور الجواليقي وغيره، وكان فاضلا عارفا حسن الأمر مليح الخط جيد الضبط، قد كتب من كتب الأدب الكثير الذي يفوت الحصر.</w:t>
      </w:r>
    </w:p>
    <w:p>
      <w:pPr>
        <w:jc w:val="start"/>
        <w:bidi/>
      </w:pPr>
      <w:r>
        <w:rPr>
          <w:sz w:val="24"/>
          <w:szCs w:val="24"/>
          <w:b w:val="1"/>
          <w:bCs w:val="1"/>
          <w:rtl/>
        </w:rPr>
        <w:t xml:space="preserve">
معجم الأدباء / إرشاد الأريب إلى معرفة الأديب،(دار الغرب الإسلامي - بيروت،1993،ط 0،ج 4،ص 1666)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2026-05-17T06:39:46+03:00</dcterms:created>
  <dcterms:modified xsi:type="dcterms:W3CDTF">2026-05-17T06:39:46+03:00</dcterms:modified>
</cp:coreProperties>
</file>

<file path=docProps/custom.xml><?xml version="1.0" encoding="utf-8"?>
<Properties xmlns="http://schemas.openxmlformats.org/officeDocument/2006/custom-properties" xmlns:vt="http://schemas.openxmlformats.org/officeDocument/2006/docPropsVTypes"/>
</file>