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أبي بردة أبو محمد القصري
</w:t>
      </w:r>
    </w:p>
    <w:p>
      <w:pPr>
        <w:jc w:val="start"/>
        <w:bidi/>
      </w:pPr>
      <w:r>
        <w:rPr>
          <w:rFonts w:ascii="arial" w:hAnsi="arial" w:eastAsia="arial" w:cs="arial"/>
          <w:sz w:val="28"/>
          <w:szCs w:val="28"/>
          <w:b w:val="1"/>
          <w:bCs w:val="1"/>
          <w:rtl/>
        </w:rPr>
        <w:t xml:space="preserve">عبيد الله بن أبي بردة أبو محمد القصري
</w:t>
      </w:r>
    </w:p>
    <w:p>
      <w:pPr/>
      <w:r>
        <w:rPr/>
        <w:t xml:space="preserve">عبيد الله بن أبي بردة أبو محمد القصري: من قصر الزيت بالبصرة، قاضي فارس، نحوي لغوي معتزلي، ذكره أبو الفتح منصور بن المقدر النحوي المعتزلي محتجا به وبأمثاله على أبي بكر الباقلاني لأنه قال: إن الكلابية تقول إن النظر إذا قرن بإلى لم يحتمل إلا الرؤية، وان المعتزلة تبطل ذلك بقول الشاعر:</w:t>
      </w:r>
    </w:p>
    <w:p/>
    <w:p>
      <w:pPr>
        <w:jc w:val="center"/>
      </w:pPr>
      <w:r>
        <w:rPr>
          <w:color w:val="ff0000"/>
        </w:rPr>
        <w:t xml:space="preserve">إني إليك لما وعدت لناظر</w:t>
      </w:r>
      <w:r>
        <w:rPr>
          <w:color w:val="ff0000"/>
        </w:rPr>
        <w:t xml:space="preserve">      </w:t>
      </w:r>
      <w:r>
        <w:rPr>
          <w:color w:val="ff0000"/>
        </w:rPr>
        <w:t xml:space="preserve">نظر الفقير إلى الغني الموسر</w:t>
      </w:r>
    </w:p>
    <w:p/>
    <w:p>
      <w:pPr/>
      <w:r>
        <w:rPr/>
        <w:t xml:space="preserve">قال: هذا اعتراض باطل، لأن الشاعر قال إليك، والله قال: </w:t>
      </w:r>
    </w:p>
    <w:p>
      <w:pPr/>
      <w:r>
        <w:rPr>
          <w:color w:val="0000ff"/>
        </w:rPr>
        <w:t xml:space="preserve">{إلى ربها}</w:t>
      </w:r>
    </w:p>
    <w:p>
      <w:pPr/>
      <w:r>
        <w:rPr/>
        <w:t xml:space="preserve"> وأحدهما غير الآخر لأن أحدهما بالياء والآخر بالألف؛ قال: من يخاصم المعتزلة الذين هم ذوو اللسن والفصاحة بهذا الكلام لا يكون غبيا بل أنقص حالة من الأغبياء. وقد كان يحضر منهم في زمن أمراء المؤمنين المطيع والطائع والقادر نحو من مائة المجالس، كل منهم أو جمهورهم قد قرأ كتاب سيبويه وإليه انتهى، كعلي بن عيسى الرماني وأبي سعيد السيرافي، وذكر جماعة، ثم قال: وأبو محمد عبيد الله بن محمد بن أبي بردة القصري، من قصر الزيت بالبصرة، قاضي فارس، وله الانتصار لسيبويه على أبي العباس في كتاب الغلط، وله مسائل سألها الشيخ أبا عبد الله البصري في إعجاز القرآن وغير ذلك.</w:t>
      </w:r>
    </w:p>
    <w:p>
      <w:pPr>
        <w:jc w:val="start"/>
        <w:bidi/>
      </w:pPr>
      <w:r>
        <w:rPr>
          <w:sz w:val="24"/>
          <w:szCs w:val="24"/>
          <w:b w:val="1"/>
          <w:bCs w:val="1"/>
          <w:rtl/>
        </w:rPr>
        <w:t xml:space="preserve">
معجم الأدباء / إرشاد الأريب إلى معرفة الأديب،(دار الغرب الإسلامي - بيروت،1993،ط 0،ج 4،ص 1575)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2026-05-17T07:35:04+03:00</dcterms:created>
  <dcterms:modified xsi:type="dcterms:W3CDTF">2026-05-17T07:35:04+03:00</dcterms:modified>
</cp:coreProperties>
</file>

<file path=docProps/custom.xml><?xml version="1.0" encoding="utf-8"?>
<Properties xmlns="http://schemas.openxmlformats.org/officeDocument/2006/custom-properties" xmlns:vt="http://schemas.openxmlformats.org/officeDocument/2006/docPropsVTypes"/>
</file>