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حمود الزبيدي أبو محمد الأندلسي
</w:t>
      </w:r>
    </w:p>
    <w:p>
      <w:pPr>
        <w:jc w:val="start"/>
        <w:bidi/>
      </w:pPr>
      <w:r>
        <w:rPr>
          <w:rFonts w:ascii="arial" w:hAnsi="arial" w:eastAsia="arial" w:cs="arial"/>
          <w:sz w:val="28"/>
          <w:szCs w:val="28"/>
          <w:b w:val="1"/>
          <w:bCs w:val="1"/>
          <w:rtl/>
        </w:rPr>
        <w:t xml:space="preserve">عبد الله بن حمود الزبيدي أبو محمد الأندلسي
</w:t>
      </w:r>
    </w:p>
    <w:p>
      <w:pPr/>
      <w:r>
        <w:rPr/>
        <w:t xml:space="preserve">عبد الله بن حمود الزبيدي أبو محمد الأندلسي من مشاهير أصحاب أبي علي إسماعيل بن القاسم البغدادي. رحل إلى الشرق، ولم يعد إلى الأندلس. لازم ببغداد أبا سعيد السيرافي إلى أن توفي السيرافي فلازم أبا علي الفارسي، واتبعه إلى فارس. وكان إذا سمع كلام الجاحظ تخدر وتسدر عجبا به. وكان يقول: قد رضيت في الجنة بكتب الجاحظ عوضا من نعيمها. وكان من فرسان النحو والشعر واللغة .</w:t>
      </w:r>
    </w:p>
    <w:p/>
    <w:p>
      <w:pPr/>
      <w:r>
        <w:rPr/>
        <w:t xml:space="preserve">وأنشد لبعض شعراء المغرب بيتا ذكر فيه أشياء زعم أنه لا حقيقة لها، وهو:</w:t>
      </w:r>
    </w:p>
    <w:p/>
    <w:p>
      <w:pPr>
        <w:jc w:val="center"/>
      </w:pPr>
      <w:r>
        <w:rPr>
          <w:color w:val="ff0000"/>
        </w:rPr>
        <w:t xml:space="preserve">الجود والغول والعنقاء ثالثة</w:t>
      </w:r>
      <w:r>
        <w:rPr>
          <w:color w:val="ff0000"/>
        </w:rPr>
        <w:t xml:space="preserve">      </w:t>
      </w:r>
      <w:r>
        <w:rPr>
          <w:color w:val="ff0000"/>
        </w:rPr>
        <w:t xml:space="preserve">أسماء في الناس لم تخلق ولم تكن</w:t>
      </w:r>
    </w:p>
    <w:p/>
    <w:p>
      <w:pPr/>
      <w:r>
        <w:rPr/>
        <w:t xml:space="preserve">وأنشد:</w:t>
      </w:r>
    </w:p>
    <w:p/>
    <w:p>
      <w:pPr>
        <w:jc w:val="center"/>
      </w:pPr>
      <w:r>
        <w:rPr>
          <w:color w:val="ff0000"/>
        </w:rPr>
        <w:t xml:space="preserve">وأحور إن كلمته فهو شاعر</w:t>
      </w:r>
      <w:r>
        <w:rPr>
          <w:color w:val="ff0000"/>
        </w:rPr>
        <w:t xml:space="preserve">      </w:t>
      </w:r>
      <w:r>
        <w:rPr>
          <w:color w:val="ff0000"/>
        </w:rPr>
        <w:t xml:space="preserve">بيانا، وإن لا حظته فهو ساحر</w:t>
      </w:r>
    </w:p>
    <w:p/>
    <w:p>
      <w:pPr>
        <w:jc w:val="center"/>
      </w:pPr>
      <w:r>
        <w:rPr>
          <w:color w:val="ff0000"/>
        </w:rPr>
        <w:t xml:space="preserve">على خده للياسمين غلائل</w:t>
      </w:r>
      <w:r>
        <w:rPr>
          <w:color w:val="ff0000"/>
        </w:rPr>
        <w:t xml:space="preserve">      </w:t>
      </w:r>
      <w:r>
        <w:rPr>
          <w:color w:val="ff0000"/>
        </w:rPr>
        <w:t xml:space="preserve">عليها من الورد النضير ظهائر</w:t>
      </w:r>
    </w:p>
    <w:p/>
    <w:p>
      <w:pPr>
        <w:jc w:val="center"/>
      </w:pPr>
      <w:r>
        <w:rPr>
          <w:color w:val="ff0000"/>
        </w:rPr>
        <w:t xml:space="preserve">حسام بجفنيه ونطع بخده</w:t>
      </w:r>
      <w:r>
        <w:rPr>
          <w:color w:val="ff0000"/>
        </w:rPr>
        <w:t xml:space="preserve">      </w:t>
      </w:r>
      <w:r>
        <w:rPr>
          <w:color w:val="ff0000"/>
        </w:rPr>
        <w:t xml:space="preserve">وصبغ دم العشاق في النطع ظاهر</w:t>
      </w:r>
    </w:p>
    <w:p/>
    <w:p>
      <w:pPr>
        <w:jc w:val="start"/>
        <w:bidi/>
      </w:pPr>
      <w:r>
        <w:rPr>
          <w:sz w:val="24"/>
          <w:szCs w:val="24"/>
          <w:b w:val="1"/>
          <w:bCs w:val="1"/>
          <w:rtl/>
        </w:rPr>
        <w:t xml:space="preserve">
معجم الأدباء / إرشاد الأريب إلى معرفة الأديب،(دار الغرب الإسلامي - بيروت،1993،ط 0،ج 4،ص 1517)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حمود بن عبد الله بن مذحج الزبيدي الإشبيلي
</w:t>
      </w:r>
    </w:p>
    <w:p>
      <w:pPr/>
      <w:r>
        <w:rPr/>
        <w:t xml:space="preserve">عبد الله بن حمود بن عبد الله بن مذحج الزبيدي الإشبيلي </w:t>
      </w:r>
    </w:p>
    <w:p/>
    <w:p>
      <w:pPr/>
      <w:r>
        <w:rPr/>
        <w:t xml:space="preserve">يكني أبا بكر، من مشاهير أصحاب أبي علي البغدادي وهو ابن عم أبي بكر محمد بن الحسن الزبيدي ورحل إلى المشرق، ولازم السيرافي إلى أن مات، ثم لازم أبا على الفارسي شرح ’’الكتاب’’ وتوفي ببغداد سنة 37 </w:t>
      </w:r>
    </w:p>
    <w:p>
      <w:pPr>
        <w:jc w:val="start"/>
        <w:bidi/>
      </w:pPr>
      <w:r>
        <w:rPr>
          <w:sz w:val="24"/>
          <w:szCs w:val="24"/>
          <w:b w:val="1"/>
          <w:bCs w:val="1"/>
          <w:rtl/>
        </w:rPr>
        <w:t xml:space="preserve">
البلغة فى تراجم أئمة النحو واللغة،(جمعية إحياء التراث الإسلامي - الكويت،1986،ط 1،ج 1،ص 29)/(دار سعد الدين للطباعة والنشر والتوزيع،2000،ط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2026-05-17T07:35:14+03:00</dcterms:created>
  <dcterms:modified xsi:type="dcterms:W3CDTF">2026-05-17T07:35:14+03:00</dcterms:modified>
</cp:coreProperties>
</file>

<file path=docProps/custom.xml><?xml version="1.0" encoding="utf-8"?>
<Properties xmlns="http://schemas.openxmlformats.org/officeDocument/2006/custom-properties" xmlns:vt="http://schemas.openxmlformats.org/officeDocument/2006/docPropsVTypes"/>
</file>