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بن أبي الغنائم المعمر بن محمد بن المعمر بن أحمد
</w:t>
      </w:r>
    </w:p>
    <w:p>
      <w:pPr>
        <w:jc w:val="start"/>
        <w:bidi/>
      </w:pPr>
      <w:r>
        <w:rPr>
          <w:rFonts w:ascii="arial" w:hAnsi="arial" w:eastAsia="arial" w:cs="arial"/>
          <w:sz w:val="28"/>
          <w:szCs w:val="28"/>
          <w:b w:val="1"/>
          <w:bCs w:val="1"/>
          <w:rtl/>
        </w:rPr>
        <w:t xml:space="preserve">حيدرة بن أبي الغنائم المعمر بن محمد بن المعمر بن أحمد
</w:t>
      </w:r>
    </w:p>
    <w:p>
      <w:pPr/>
      <w:r>
        <w:rPr/>
        <w:t xml:space="preserve">حيدرة بن أبي الغنائم المعمر بن محمد بن المعمر بن أحمد بن محمد بن أبي علي بن محمد بن الحسين بن عبد الله بن علي بن عبد الله الأعرج بن الحسين الأصغر بن علي زين العابدين بن الحسين بن علي بن أبي طالب عليهم السلام: مات سنة إحدى وخمسمائة وولي النقابة.</w:t>
      </w:r>
    </w:p>
    <w:p>
      <w:pPr>
        <w:jc w:val="start"/>
        <w:bidi/>
      </w:pPr>
      <w:r>
        <w:rPr>
          <w:sz w:val="24"/>
          <w:szCs w:val="24"/>
          <w:b w:val="1"/>
          <w:bCs w:val="1"/>
          <w:rtl/>
        </w:rPr>
        <w:t xml:space="preserve">
معجم الأدباء / إرشاد الأريب إلى معرفة الأديب،(دار الغرب الإسلامي - بيروت،1993،ط 0،ج 3،ص 1229)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2026-05-17T12:06:57+03:00</dcterms:created>
  <dcterms:modified xsi:type="dcterms:W3CDTF">2026-05-17T12:06:57+03:00</dcterms:modified>
</cp:coreProperties>
</file>

<file path=docProps/custom.xml><?xml version="1.0" encoding="utf-8"?>
<Properties xmlns="http://schemas.openxmlformats.org/officeDocument/2006/custom-properties" xmlns:vt="http://schemas.openxmlformats.org/officeDocument/2006/docPropsVTypes"/>
</file>