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الحسين وزير منوجهر يكنى أبا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الحسين وزير منوجهر يكنى أبا علي
</w:t>
      </w:r>
    </w:p>
    <w:p>
      <w:pPr/>
      <w:r>
        <w:rPr/>
        <w:t xml:space="preserve">حمد بن الحسين وزير منوجهر يكنى أبا علي وأصله من همذان: وزر لمنوجهر بن قابوس بن وشمكير بجرجان، إلى أن قبض عليه، واستصفى ماله. ومات في اعتقاله سنة عشر وأربعمائة. وكان أديبا فاضلا كاملا بليغا، وله أشعار منها:</w:t>
      </w:r>
    </w:p>
    <w:p/>
    <w:p>
      <w:pPr>
        <w:jc w:val="center"/>
      </w:pPr>
      <w:r>
        <w:rPr>
          <w:color w:val="ff0000"/>
        </w:rPr>
        <w:t xml:space="preserve">عابوه لما التحى فقلنا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عبتم وغبتم عن الجمال</w:t>
      </w:r>
    </w:p>
    <w:p/>
    <w:p>
      <w:pPr>
        <w:jc w:val="center"/>
      </w:pPr>
      <w:r>
        <w:rPr>
          <w:color w:val="ff0000"/>
        </w:rPr>
        <w:t xml:space="preserve">هذا غزال وهل معيب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تولد المسك في غزال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ولت الدنيا عن المرء أقبلت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مذمات العدى والأصادق</w:t>
      </w:r>
    </w:p>
    <w:p/>
    <w:p>
      <w:pPr>
        <w:jc w:val="center"/>
      </w:pPr>
      <w:r>
        <w:rPr>
          <w:color w:val="ff0000"/>
        </w:rPr>
        <w:t xml:space="preserve">وإن هو لم يدلج إلى المال لم يزل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المال مقطوع العرى والعلائق</w:t>
      </w:r>
    </w:p>
    <w:p/>
    <w:p>
      <w:pPr>
        <w:jc w:val="center"/>
      </w:pPr>
      <w:r>
        <w:rPr>
          <w:color w:val="ff0000"/>
        </w:rPr>
        <w:t xml:space="preserve">تصفحت أحوال الزمان فلم أجد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أعز وجودا من صديق موافق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2026-05-17T12:05:20+03:00</dcterms:created>
  <dcterms:modified xsi:type="dcterms:W3CDTF">2026-05-17T12:05:20+03:00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