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حصن بن ربيعة بن صعير بن كلاب بن عامر
</w:t>
      </w:r>
    </w:p>
    <w:p>
      <w:pPr>
        <w:jc w:val="start"/>
        <w:bidi/>
      </w:pPr>
      <w:r>
        <w:rPr>
          <w:rFonts w:ascii="arial" w:hAnsi="arial" w:eastAsia="arial" w:cs="arial"/>
          <w:sz w:val="28"/>
          <w:szCs w:val="28"/>
          <w:b w:val="1"/>
          <w:bCs w:val="1"/>
          <w:rtl/>
        </w:rPr>
        <w:t xml:space="preserve">حصن بن ربيعة بن صعير بن كلاب بن عامر
</w:t>
      </w:r>
    </w:p>
    <w:p>
      <w:pPr/>
      <w:r>
        <w:rPr/>
        <w:t xml:space="preserve">حصن بن ربيعة بن صعير بن كلاب بن عامر بن مالك بن تيم الله بن ثعلبة بن عكابة بن صعب بن علي بن بكر بن وائل، المعروف بلسان الحمرة. وابنه أبو كلاب عبد الله، كانا من أعلم الناس بعلم النسب، وأخبار الأوائل. قال لرؤبة بن العجاج:</w:t>
      </w:r>
    </w:p>
    <w:p/>
    <w:p>
      <w:pPr/>
      <w:r>
        <w:rPr/>
        <w:t xml:space="preserve">للعلم آفة وهجنة وإضاعة. فأما آفته فنسيانه، وأما هجنته فالكذب فيه، وأما إضاعته فوضعه عند من لا يستأهله.</w:t>
      </w:r>
    </w:p>
    <w:p>
      <w:pPr>
        <w:jc w:val="start"/>
        <w:bidi/>
      </w:pPr>
      <w:r>
        <w:rPr>
          <w:sz w:val="24"/>
          <w:szCs w:val="24"/>
          <w:b w:val="1"/>
          <w:bCs w:val="1"/>
          <w:rtl/>
        </w:rPr>
        <w:t xml:space="preserve">
معجم الأدباء / إرشاد الأريب إلى معرفة الأديب،(دار الغرب الإسلامي - بيروت،1993،ط 0،ج 3،ص 1177)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2026-05-17T12:08:46+03:00</dcterms:created>
  <dcterms:modified xsi:type="dcterms:W3CDTF">2026-05-17T12:08:46+03:00</dcterms:modified>
</cp:coreProperties>
</file>

<file path=docProps/custom.xml><?xml version="1.0" encoding="utf-8"?>
<Properties xmlns="http://schemas.openxmlformats.org/officeDocument/2006/custom-properties" xmlns:vt="http://schemas.openxmlformats.org/officeDocument/2006/docPropsVTypes"/>
</file>