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حبيش بن موسى الصيني
</w:t>
      </w:r>
    </w:p>
    <w:p>
      <w:pPr>
        <w:jc w:val="start"/>
        <w:bidi/>
      </w:pPr>
      <w:r>
        <w:rPr>
          <w:rFonts w:ascii="arial" w:hAnsi="arial" w:eastAsia="arial" w:cs="arial"/>
          <w:sz w:val="28"/>
          <w:szCs w:val="28"/>
          <w:b w:val="1"/>
          <w:bCs w:val="1"/>
          <w:rtl/>
        </w:rPr>
        <w:t xml:space="preserve">حبيش بن موسى الصيني
</w:t>
      </w:r>
    </w:p>
    <w:p>
      <w:pPr/>
      <w:r>
        <w:rPr/>
        <w:t xml:space="preserve">حبيش بن موسى الصيني صاحب «كتاب الأغاني» ألفه للمتوكل، وذكر في هذا الكتاب أشياء لم يذكرها إسحاق ولا عمرو بن بانة، وذكر من أسماء المغنين والمغنيات في الجاهلية والاسلام كل ظريف غريب. وله: كتاب الأغاني على حروف المعجم. كتاب مجردات المغنيات .</w:t>
      </w:r>
    </w:p>
    <w:p>
      <w:pPr>
        <w:jc w:val="start"/>
        <w:bidi/>
      </w:pPr>
      <w:r>
        <w:rPr>
          <w:sz w:val="24"/>
          <w:szCs w:val="24"/>
          <w:b w:val="1"/>
          <w:bCs w:val="1"/>
          <w:rtl/>
        </w:rPr>
        <w:t xml:space="preserve">
معجم الأدباء / إرشاد الأريب إلى معرفة الأديب،(دار الغرب الإسلامي - بيروت،1993،ط 0،ج 2،ص 806)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2026-06-10T05:05:45+03:00</dcterms:created>
  <dcterms:modified xsi:type="dcterms:W3CDTF">2026-06-10T05:05:45+03:00</dcterms:modified>
</cp:coreProperties>
</file>

<file path=docProps/custom.xml><?xml version="1.0" encoding="utf-8"?>
<Properties xmlns="http://schemas.openxmlformats.org/officeDocument/2006/custom-properties" xmlns:vt="http://schemas.openxmlformats.org/officeDocument/2006/docPropsVTypes"/>
</file>