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أحمد المروزي،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المروزي، أبو العباس
</w:t>
      </w:r>
    </w:p>
    <w:p>
      <w:pPr/>
      <w:r>
        <w:rPr/>
        <w:t xml:space="preserve">جعفر بن أحمد المروزي، أبو العباس ذكره محمد بن إسحاق النديم فقال: هو أحد جماعي ومؤلفي الكتب في أنواع من العلم، وكتبه كثيرة جدا، وهو أول من ألف كتابا في المسالك والممالك ولم يتم. مات بالأهواز، وحملت كتبه إلى</w:t>
      </w:r>
    </w:p>
    <w:p/>
    <w:p>
      <w:pPr/>
      <w:r>
        <w:rPr/>
        <w:t xml:space="preserve">بغداد وبيعت في طاق الحراني سنة أربع وسبعين ومائتين. فمن كتبه: كتاب المسالك والممالك. كتاب الآداب الكبير. كتاب الآداب الصغير. كتاب الناجم. كتاب تاريخ آي القرآن لتأييد كتب السلطان. كتاب البلاغة والخطابة.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أحمد المروزي أبو العباس 
</w:t>
      </w:r>
    </w:p>
    <w:p>
      <w:pPr/>
      <w:r>
        <w:rPr/>
        <w:t xml:space="preserve">جعفر بن أحمد المروزيّ أبو العباس. </w:t>
      </w:r>
    </w:p>
    <w:p/>
    <w:p>
      <w:pPr/>
      <w:r>
        <w:rPr/>
        <w:t xml:space="preserve">قال محمد بن إسحاق: هو أحد المؤلّفين. وهو أول من صنّف</w:t>
      </w:r>
    </w:p>
    <w:p/>
    <w:p>
      <w:pPr/>
      <w:r>
        <w:rPr/>
        <w:t xml:space="preserve">كتابا في المسالك والممالك ولم يتمّه، وله كتاب الآداب الكبير، وكتاب الآداب الصغير، وكتاب الناجم، وكتاب تاريخ آي القرآن لتأييد كتب السلطان، وكتاب البلاغة والخطابة.</w:t>
      </w:r>
    </w:p>
    <w:p/>
    <w:p>
      <w:pPr/>
      <w:r>
        <w:rPr/>
        <w:t xml:space="preserve">مات بالأهواز في سنة أربع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2026-07-27T11:25:15+03:00</dcterms:created>
  <dcterms:modified xsi:type="dcterms:W3CDTF">2026-07-27T11:25:15+03:00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