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علي الحظيري
</w:t>
      </w:r>
    </w:p>
    <w:p>
      <w:pPr>
        <w:jc w:val="start"/>
        <w:bidi/>
      </w:pPr>
      <w:r>
        <w:rPr>
          <w:rFonts w:ascii="arial" w:hAnsi="arial" w:eastAsia="arial" w:cs="arial"/>
          <w:sz w:val="28"/>
          <w:szCs w:val="28"/>
          <w:b w:val="1"/>
          <w:bCs w:val="1"/>
          <w:rtl/>
        </w:rPr>
        <w:t xml:space="preserve">إسماعيل بن علي الحظيري
</w:t>
      </w:r>
    </w:p>
    <w:p>
      <w:pPr/>
      <w:r>
        <w:rPr/>
        <w:t xml:space="preserve">إسماعيل بن علي الحظيري -والحظيرة من أعمال دجيل ثم من ناحية نهر تاب-: كان فاضلا متميزا لسنا ذا بلاغة وبراعة، وله في ذلك تصانيف معروفة متداولة، إلا أن الخمول كان عليه غالبا. قدم بغداد، وقرأ الأدب على أبي محمد إسماعيل بن أبي منصور موهوب بن الخضر الجواليقي وعلى أبي البركات عبد الر</w:t>
      </w:r>
    </w:p>
    <w:p>
      <w:pPr>
        <w:jc w:val="start"/>
        <w:bidi/>
      </w:pPr>
      <w:r>
        <w:rPr>
          <w:sz w:val="24"/>
          <w:szCs w:val="24"/>
          <w:b w:val="1"/>
          <w:bCs w:val="1"/>
          <w:rtl/>
        </w:rPr>
        <w:t xml:space="preserve">
معجم الأدباء / إرشاد الأريب إلى معرفة الأديب،(دار الغرب الإسلامي - بيروت،1993،ط 0،ج 2،ص 729)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2026-06-10T06:17:03+03:00</dcterms:created>
  <dcterms:modified xsi:type="dcterms:W3CDTF">2026-06-10T06:17:03+03:00</dcterms:modified>
</cp:coreProperties>
</file>

<file path=docProps/custom.xml><?xml version="1.0" encoding="utf-8"?>
<Properties xmlns="http://schemas.openxmlformats.org/officeDocument/2006/custom-properties" xmlns:vt="http://schemas.openxmlformats.org/officeDocument/2006/docPropsVTypes"/>
</file>