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أسعد بن مسعود بن علي بن محمد بن الحسن العتبي
</w:t>
      </w:r>
    </w:p>
    <w:p>
      <w:pPr>
        <w:jc w:val="start"/>
        <w:bidi/>
      </w:pPr>
      <w:r>
        <w:rPr>
          <w:rFonts w:ascii="arial" w:hAnsi="arial" w:eastAsia="arial" w:cs="arial"/>
          <w:sz w:val="28"/>
          <w:szCs w:val="28"/>
          <w:b w:val="1"/>
          <w:bCs w:val="1"/>
          <w:rtl/>
        </w:rPr>
        <w:t xml:space="preserve">أسعد بن مسعود بن علي بن محمد بن الحسن العتبي
</w:t>
      </w:r>
    </w:p>
    <w:p>
      <w:pPr/>
      <w:r>
        <w:rPr/>
        <w:t xml:space="preserve">أسعد بن مسعود بن علي بن محمد بن الحسن العتبي أبو إبراهيم: من ولد عتبة بن غزوان، وهو حفيد أبي النصر العتبي، كذا ذكر السمعاني في «المذيل» وأبو النصر هو محمد بن عبد الجبار، وليس في نسب هذا عبد الجبار كما ترى، ولا أدري ما صوابه إلا أن يكون ابن بنته.</w:t>
      </w:r>
    </w:p>
    <w:p/>
    <w:p>
      <w:pPr/>
      <w:r>
        <w:rPr/>
        <w:t xml:space="preserve">قال السمعاني: قرأت بخط والدي: أسعد بن مسعود العتبي مولده سنة أربع وأربعمائة، ذكره أبو الحسن البيهقي في «وشاح الدمية» وقال: هو مصنف «كتاب درة التاج» و «كتاب تاج الرسائل» وكان كاتبا في الدواوين المحمودية والسلجوقية، وعاش إلى آخر أيام نظام الملك، وقال في الإمام علي الفنجكردي:</w:t>
      </w:r>
    </w:p>
    <w:p/>
    <w:p>
      <w:pPr>
        <w:jc w:val="center"/>
      </w:pPr>
      <w:r>
        <w:rPr>
          <w:color w:val="ff0000"/>
        </w:rPr>
        <w:t xml:space="preserve">يا أوحد البلغاء والأدباء</w:t>
      </w:r>
      <w:r>
        <w:rPr>
          <w:color w:val="ff0000"/>
        </w:rPr>
        <w:t xml:space="preserve">      </w:t>
      </w:r>
      <w:r>
        <w:rPr>
          <w:color w:val="ff0000"/>
        </w:rPr>
        <w:t xml:space="preserve">يا سيد الفضلاء والعلماء</w:t>
      </w:r>
    </w:p>
    <w:p/>
    <w:p>
      <w:pPr>
        <w:jc w:val="center"/>
      </w:pPr>
      <w:r>
        <w:rPr>
          <w:color w:val="ff0000"/>
        </w:rPr>
        <w:t xml:space="preserve">يا من كأن عطاردا في قلبه</w:t>
      </w:r>
      <w:r>
        <w:rPr>
          <w:color w:val="ff0000"/>
        </w:rPr>
        <w:t xml:space="preserve">      </w:t>
      </w:r>
      <w:r>
        <w:rPr>
          <w:color w:val="ff0000"/>
        </w:rPr>
        <w:t xml:space="preserve">يملي عليه حقائق الأشياء</w:t>
      </w:r>
    </w:p>
    <w:p/>
    <w:p>
      <w:pPr/>
      <w:r>
        <w:rPr/>
        <w:t xml:space="preserve">وذكره أبو سعد، ونقلت من خطه، قال بعد ذكر نسبه: كان من أهل نيسابور وكان يسكن مدرسة البيهقي؛ وهو من أولاد المنعمين، شاعر كاتب، تصرف في الأعمال أيام شبابه، وخرج في صحبة عميد خراسان إلى أسفار، وصحب الأكابر، وارتفعت به الأيام وانخفضت حتى تأخر عن العمل، وتاب ولزم البيت وقنع بالكفاف من العيش، واستراح من الأمور، وعقد له مجلس الإملاء في الجامع المنيعي فأملى مدة، وكان يحضر عنده المحدثون والأئمة. دخل بغداد وسمع بها من أبي منصور عبد الله بن سعيد بن مهدي الكاتب الخوافي، وسمع بنيسابور ومرو وغير ذلك، وسمع جده أبا النصر العتبي وروى لنا عنه جماعة.</w:t>
      </w:r>
    </w:p>
    <w:p/>
    <w:p>
      <w:pPr/>
      <w:r>
        <w:rPr/>
        <w:t xml:space="preserve">قال: وقرأت بخط أبي جعفر محمد بن علي الحافظ الهمذاني: أسعد بن مسعود العتبي شيخ عالم ثقة دين، كان يثني عليه أبو صالح المؤذن الحافظ. وذكره في موضع آخر وقال: أسعد العتبي تزهد وكان من الصالحين.</w:t>
      </w:r>
    </w:p>
    <w:p/>
    <w:p>
      <w:pPr/>
      <w:r>
        <w:rPr/>
        <w:t xml:space="preserve">قال السمعاني: أنبأنا أبو البركات الفراوي عن أسعد بن مسعود عن عبد القاهر بن طاهر التميمي، حدثني شيخ فاضل قال: دخلت المسجد الجامع بالبصرة فرأيت شيخا بهيا قد قطع مسافة العمر، فسلمت عليه وقلت: أتفرس أنك شاعر، فقال: أجل، فقلت: أنشدني من مقولك ما يكون لي تذكرة منك، فقال:</w:t>
      </w:r>
    </w:p>
    <w:p/>
    <w:p>
      <w:pPr/>
      <w:r>
        <w:rPr/>
        <w:t xml:space="preserve">اكتب:</w:t>
      </w:r>
    </w:p>
    <w:p/>
    <w:p>
      <w:pPr>
        <w:jc w:val="center"/>
      </w:pPr>
      <w:r>
        <w:rPr>
          <w:color w:val="ff0000"/>
        </w:rPr>
        <w:t xml:space="preserve">قالوا تغير شعره عن حاله</w:t>
      </w:r>
      <w:r>
        <w:rPr>
          <w:color w:val="ff0000"/>
        </w:rPr>
        <w:t xml:space="preserve">      </w:t>
      </w:r>
      <w:r>
        <w:rPr>
          <w:color w:val="ff0000"/>
        </w:rPr>
        <w:t xml:space="preserve">والهم يشغلني عن الأشعار</w:t>
      </w:r>
    </w:p>
    <w:p/>
    <w:p>
      <w:pPr>
        <w:jc w:val="center"/>
      </w:pPr>
      <w:r>
        <w:rPr>
          <w:color w:val="ff0000"/>
        </w:rPr>
        <w:t xml:space="preserve">أما الهجاء فعنه شيبي زاجري </w:t>
      </w:r>
      <w:r>
        <w:rPr>
          <w:color w:val="ff0000"/>
        </w:rPr>
        <w:t xml:space="preserve">      </w:t>
      </w:r>
      <w:r>
        <w:rPr>
          <w:color w:val="ff0000"/>
        </w:rPr>
        <w:t xml:space="preserve">والمدح قل لقلة الأحرار</w:t>
      </w:r>
    </w:p>
    <w:p/>
    <w:p>
      <w:pPr/>
      <w:r>
        <w:rPr/>
        <w:t xml:space="preserve">قال السمعاني: أنشدني أبو الحسين أحمد بن محمد السمناني المصري، أنشدنا أبو إبراهيم أسعد العتبي لنفسه:</w:t>
      </w:r>
    </w:p>
    <w:p/>
    <w:p>
      <w:pPr>
        <w:jc w:val="center"/>
      </w:pPr>
      <w:r>
        <w:rPr>
          <w:color w:val="ff0000"/>
        </w:rPr>
        <w:t xml:space="preserve">قد كنت فيما مر من أزماني</w:t>
      </w:r>
      <w:r>
        <w:rPr>
          <w:color w:val="ff0000"/>
        </w:rPr>
        <w:t xml:space="preserve">      </w:t>
      </w:r>
      <w:r>
        <w:rPr>
          <w:color w:val="ff0000"/>
        </w:rPr>
        <w:t xml:space="preserve">متوانيا لتقاصر الإحسان</w:t>
      </w:r>
    </w:p>
    <w:p/>
    <w:p>
      <w:pPr>
        <w:jc w:val="center"/>
      </w:pPr>
      <w:r>
        <w:rPr>
          <w:color w:val="ff0000"/>
        </w:rPr>
        <w:t xml:space="preserve">ورأيت خلاني وأهل مودتي</w:t>
      </w:r>
      <w:r>
        <w:rPr>
          <w:color w:val="ff0000"/>
        </w:rPr>
        <w:t xml:space="preserve">      </w:t>
      </w:r>
      <w:r>
        <w:rPr>
          <w:color w:val="ff0000"/>
        </w:rPr>
        <w:t xml:space="preserve">متوفرين معا على الاخوان</w:t>
      </w:r>
    </w:p>
    <w:p/>
    <w:p>
      <w:pPr>
        <w:jc w:val="center"/>
      </w:pPr>
      <w:r>
        <w:rPr>
          <w:color w:val="ff0000"/>
        </w:rPr>
        <w:t xml:space="preserve">فتغيروا لما رأوني تائبا</w:t>
      </w:r>
      <w:r>
        <w:rPr>
          <w:color w:val="ff0000"/>
        </w:rPr>
        <w:t xml:space="preserve">      </w:t>
      </w:r>
      <w:r>
        <w:rPr>
          <w:color w:val="ff0000"/>
        </w:rPr>
        <w:t xml:space="preserve">وعن التصرف قد صرفت عناني</w:t>
      </w:r>
    </w:p>
    <w:p/>
    <w:p>
      <w:pPr>
        <w:jc w:val="center"/>
      </w:pPr>
      <w:r>
        <w:rPr>
          <w:color w:val="ff0000"/>
        </w:rPr>
        <w:t xml:space="preserve">دعهم وعادتهم فلم أر مثلهم</w:t>
      </w:r>
      <w:r>
        <w:rPr>
          <w:color w:val="ff0000"/>
        </w:rPr>
        <w:t xml:space="preserve">      </w:t>
      </w:r>
      <w:r>
        <w:rPr>
          <w:color w:val="ff0000"/>
        </w:rPr>
        <w:t xml:space="preserve">إلا مجرد صورة الإنسان</w:t>
      </w:r>
    </w:p>
    <w:p/>
    <w:p>
      <w:pPr>
        <w:jc w:val="center"/>
      </w:pPr>
      <w:r>
        <w:rPr>
          <w:color w:val="ff0000"/>
        </w:rPr>
        <w:t xml:space="preserve">واغسل يديك من الزمان وأهله</w:t>
      </w:r>
      <w:r>
        <w:rPr>
          <w:color w:val="ff0000"/>
        </w:rPr>
        <w:t xml:space="preserve">      </w:t>
      </w:r>
      <w:r>
        <w:rPr>
          <w:color w:val="ff0000"/>
        </w:rPr>
        <w:t xml:space="preserve">بالطين والصابون والأشنان</w:t>
      </w:r>
    </w:p>
    <w:p/>
    <w:p>
      <w:pPr>
        <w:jc w:val="start"/>
        <w:bidi/>
      </w:pPr>
      <w:r>
        <w:rPr>
          <w:sz w:val="24"/>
          <w:szCs w:val="24"/>
          <w:b w:val="1"/>
          <w:bCs w:val="1"/>
          <w:rtl/>
        </w:rPr>
        <w:t xml:space="preserve">
معجم الأدباء / إرشاد الأريب إلى معرفة الأديب،(دار الغرب الإسلامي - بيروت،1993،ط 0،ج 2،ص 633)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أسعد بن مسعود بن علي بن محمد بن محمد بن الحسن
</w:t>
      </w:r>
    </w:p>
    <w:p>
      <w:pPr/>
      <w:r>
        <w:rPr/>
        <w:t xml:space="preserve">وكانت وفاته في سنة سبع وسبعين وثلاث مائة عن سبع وسبعين سنة. </w:t>
      </w:r>
    </w:p>
    <w:p/>
    <w:p>
      <w:pPr/>
      <w:r>
        <w:rPr/>
        <w:t xml:space="preserve">أسعد بن مسعود بن عليّ بن محمد بن محمد بن الحسن، من ولد عتبة بن غزوان.</w:t>
      </w:r>
    </w:p>
    <w:p/>
    <w:p>
      <w:pPr/>
      <w:r>
        <w:rPr/>
        <w:t xml:space="preserve">ذكره أبو الحسن البيهقيّ في وشاح الدّمية، وقال: له كتاب درّة التاج، وكتاب تاج الرسائل.</w:t>
      </w:r>
    </w:p>
    <w:p/>
    <w:p>
      <w:pPr/>
      <w:r>
        <w:rPr/>
        <w:t xml:space="preserve">ومات في جمادى الأولى من سنة أربع وتسعين وأربع مائة عن تسعين سنة.</w:t>
      </w:r>
    </w:p>
    <w:p>
      <w:pPr>
        <w:jc w:val="start"/>
        <w:bidi/>
      </w:pPr>
      <w:r>
        <w:rPr>
          <w:sz w:val="24"/>
          <w:szCs w:val="24"/>
          <w:b w:val="1"/>
          <w:bCs w:val="1"/>
          <w:rtl/>
        </w:rPr>
        <w:t xml:space="preserve">
الدر الثمين في أسماء المصنفين،(دار الغرب الإسلامي - تونس،2009،ط 1،ج 1،ص 302)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2026-06-13T19:50:08+03:00</dcterms:created>
  <dcterms:modified xsi:type="dcterms:W3CDTF">2026-06-13T19:50:08+03:00</dcterms:modified>
</cp:coreProperties>
</file>

<file path=docProps/custom.xml><?xml version="1.0" encoding="utf-8"?>
<Properties xmlns="http://schemas.openxmlformats.org/officeDocument/2006/custom-properties" xmlns:vt="http://schemas.openxmlformats.org/officeDocument/2006/docPropsVTypes"/>
</file>