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أحمد بن شيث بن نصر بن شيث
</w:t>
      </w:r>
    </w:p>
    <w:p>
      <w:pPr>
        <w:jc w:val="start"/>
        <w:bidi/>
      </w:pPr>
      <w:r>
        <w:rPr>
          <w:rFonts w:ascii="arial" w:hAnsi="arial" w:eastAsia="arial" w:cs="arial"/>
          <w:sz w:val="28"/>
          <w:szCs w:val="28"/>
          <w:b w:val="1"/>
          <w:bCs w:val="1"/>
          <w:rtl/>
        </w:rPr>
        <w:t xml:space="preserve">إسحاق بن أحمد بن شيث بن نصر بن شيث
</w:t>
      </w:r>
    </w:p>
    <w:p>
      <w:pPr/>
      <w:r>
        <w:rPr/>
        <w:t xml:space="preserve">إسحاق بن أحمد بن شيث بن نصر بن شيث بن الحكم بن اقلذ بن عقبة بن يزيد بن سلمة بن رؤبة بن خفاتة بن وائل بن هضيم بن ذبيان الصفار، أبو نصر الأديب البخاري من أهل بخارى: كان أحد أفراد الزمان في علم العربية، والمعرفة بدقائقها الخفية، وكان فقيها، وورد إلى بغداد وروى بها ومات بعد سنة خمس وأربعمائة فإنه في هذه السنة حدث ببغداد. ذكره السمعاني أبو سعد في «تاريخ مرو» والحاكم بن البيع في «تاريخ نيسابور» والخطيب في «تاريخ بغداد» .</w:t>
      </w:r>
    </w:p>
    <w:p/>
    <w:p>
      <w:pPr/>
      <w:r>
        <w:rPr/>
        <w:t xml:space="preserve">قال تاج الإسلام ومن خطه نقلت: ورد أبو نصر الصفار خراسان ثم خرج إلى العراق والحجاز وسكن الطائف وبها توفي، وقبره بها معروف. وله تصانيف في</w:t>
      </w:r>
    </w:p>
    <w:p/>
    <w:p>
      <w:pPr/>
      <w:r>
        <w:rPr/>
        <w:t xml:space="preserve">اللغة، وكان حسن الشعر، وهو جد الزاهد الصفار إبراهيم بن إسماعيل بن إسحاق بن أحمد الذي لقيناه بمرو. وسمع نصر بن أحمد بن إسماعيل الكشاني، وروى عنه أبو علي الحسن بن علي بن محمد بن المذهب التميمي البغدادي.</w:t>
      </w:r>
    </w:p>
    <w:p/>
    <w:p>
      <w:pPr/>
      <w:r>
        <w:rPr/>
        <w:t xml:space="preserve">وقال الحاكم: أبو نصر الفقيه الأديب البخاري الصفار- بعد ما ذكر سنه كما تقدم- قدم علينا حاجا وما كنت رأيت مثله ببخارى في سنه في حفظ الأدب والفقه، وقد طلب الحديث في أنواع من العلم، وأنشدني لنفسه من الشعر المتين ما يطول شرحه، ثم قال: أنشدني لنفسه:</w:t>
      </w:r>
    </w:p>
    <w:p/>
    <w:p>
      <w:pPr>
        <w:jc w:val="center"/>
      </w:pPr>
      <w:r>
        <w:rPr>
          <w:color w:val="ff0000"/>
        </w:rPr>
        <w:t xml:space="preserve">العين من زهر الخضراء في شغل</w:t>
      </w:r>
      <w:r>
        <w:rPr>
          <w:color w:val="ff0000"/>
        </w:rPr>
        <w:t xml:space="preserve">      </w:t>
      </w:r>
      <w:r>
        <w:rPr>
          <w:color w:val="ff0000"/>
        </w:rPr>
        <w:t xml:space="preserve">والقلب من هيبة الرحمن في وجل</w:t>
      </w:r>
    </w:p>
    <w:p/>
    <w:p>
      <w:pPr>
        <w:jc w:val="center"/>
      </w:pPr>
      <w:r>
        <w:rPr>
          <w:color w:val="ff0000"/>
        </w:rPr>
        <w:t xml:space="preserve">لو لم تكن هيبة الرحمن تردعني</w:t>
      </w:r>
      <w:r>
        <w:rPr>
          <w:color w:val="ff0000"/>
        </w:rPr>
        <w:t xml:space="preserve">      </w:t>
      </w:r>
      <w:r>
        <w:rPr>
          <w:color w:val="ff0000"/>
        </w:rPr>
        <w:t xml:space="preserve">شرقت من قبلي في صحن خد ولي</w:t>
      </w:r>
    </w:p>
    <w:p/>
    <w:p>
      <w:pPr>
        <w:jc w:val="center"/>
      </w:pPr>
      <w:r>
        <w:rPr>
          <w:color w:val="ff0000"/>
        </w:rPr>
        <w:t xml:space="preserve">يا دمية خلقت كالشمس في المثل</w:t>
      </w:r>
      <w:r>
        <w:rPr>
          <w:color w:val="ff0000"/>
        </w:rPr>
        <w:t xml:space="preserve">      </w:t>
      </w:r>
      <w:r>
        <w:rPr>
          <w:color w:val="ff0000"/>
        </w:rPr>
        <w:t xml:space="preserve">حوري جسم ولكن صورة الرجل</w:t>
      </w:r>
    </w:p>
    <w:p/>
    <w:p>
      <w:pPr>
        <w:jc w:val="center"/>
      </w:pPr>
      <w:r>
        <w:rPr>
          <w:color w:val="ff0000"/>
        </w:rPr>
        <w:t xml:space="preserve">لو كان صيد الدمى والمرد من عملي</w:t>
      </w:r>
      <w:r>
        <w:rPr>
          <w:color w:val="ff0000"/>
        </w:rPr>
        <w:t xml:space="preserve">      </w:t>
      </w:r>
      <w:r>
        <w:rPr>
          <w:color w:val="ff0000"/>
        </w:rPr>
        <w:t xml:space="preserve">لكنت من طرب كالشارب الثمل</w:t>
      </w:r>
    </w:p>
    <w:p/>
    <w:p>
      <w:pPr>
        <w:jc w:val="center"/>
      </w:pPr>
      <w:r>
        <w:rPr>
          <w:color w:val="ff0000"/>
        </w:rPr>
        <w:t xml:space="preserve">لكنني من وثاق العقل في عقل</w:t>
      </w:r>
      <w:r>
        <w:rPr>
          <w:color w:val="ff0000"/>
        </w:rPr>
        <w:t xml:space="preserve">      </w:t>
      </w:r>
      <w:r>
        <w:rPr>
          <w:color w:val="ff0000"/>
        </w:rPr>
        <w:t xml:space="preserve">وليس لي عن وفاق العقل من حول</w:t>
      </w:r>
    </w:p>
    <w:p/>
    <w:p>
      <w:pPr>
        <w:jc w:val="center"/>
      </w:pPr>
      <w:r>
        <w:rPr>
          <w:color w:val="ff0000"/>
        </w:rPr>
        <w:t xml:space="preserve">الله يرقبني والعقل يحجبني</w:t>
      </w:r>
      <w:r>
        <w:rPr>
          <w:color w:val="ff0000"/>
        </w:rPr>
        <w:t xml:space="preserve">      </w:t>
      </w:r>
      <w:r>
        <w:rPr>
          <w:color w:val="ff0000"/>
        </w:rPr>
        <w:t xml:space="preserve">فما لمثلي إذا في اللهو والغزل</w:t>
      </w:r>
    </w:p>
    <w:p/>
    <w:p>
      <w:pPr>
        <w:jc w:val="center"/>
      </w:pPr>
      <w:r>
        <w:rPr>
          <w:color w:val="ff0000"/>
        </w:rPr>
        <w:t xml:space="preserve">كلفت نفسي عزا في صيانتها</w:t>
      </w:r>
      <w:r>
        <w:rPr>
          <w:color w:val="ff0000"/>
        </w:rPr>
        <w:t xml:space="preserve">      </w:t>
      </w:r>
      <w:r>
        <w:rPr>
          <w:color w:val="ff0000"/>
        </w:rPr>
        <w:t xml:space="preserve">دين الورى لهم طرا وديني لي</w:t>
      </w:r>
    </w:p>
    <w:p/>
    <w:p>
      <w:pPr/>
      <w:r>
        <w:rPr/>
        <w:t xml:space="preserve">وقال أبو بكر ابن علي الخطيب: اسحاق بن أحمد بن شيث أبو نصر البخاري، ويعرف بالصدق، قدم بغداد في سنة خمس وأربعمائة، وحدث بها عن نصر بن أحمد بن إسماعيل الكشاني صاحب جبريل السمرقندي، حدثني عنه الحسن بن علي بن محمد بن المذهب وأثنى عليه خيرا.</w:t>
      </w:r>
    </w:p>
    <w:p/>
    <w:p>
      <w:pPr/>
      <w:r>
        <w:rPr/>
        <w:t xml:space="preserve">قال المؤلف: ورأيت أنا له كتابا في النحو عجيبا سماه «كتاب المدخل إلى سيبويه» ذكر فيه المبنيات فقط، يكون نحوا من خمسمائة ورقة، ووقفت منه على كلام من تبحر في هذا الشأن واشتمل على غوامضه إلى أقصى مكان، وله غير ذلك من التصانيف في الأدب، وكتاب المدخل الصغير في النحو وكتاب الرد على حمزة في حدوث التصحيف.</w:t>
      </w:r>
    </w:p>
    <w:p>
      <w:pPr>
        <w:jc w:val="start"/>
        <w:bidi/>
      </w:pPr>
      <w:r>
        <w:rPr>
          <w:sz w:val="24"/>
          <w:szCs w:val="24"/>
          <w:b w:val="1"/>
          <w:bCs w:val="1"/>
          <w:rtl/>
        </w:rPr>
        <w:t xml:space="preserve">
معجم الأدباء / إرشاد الأريب إلى معرفة الأديب،(دار الغرب الإسلامي - بيروت،1993،ط 0،ج 2،ص 620)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أحمد بن شيث، أبو نصر، البخاري المعروف بالصفار
</w:t>
      </w:r>
    </w:p>
    <w:p>
      <w:pPr/>
      <w:r>
        <w:rPr/>
        <w:t xml:space="preserve">إسحاق بن أحمد بن شيث، أبو نصر، البخاري المعروف بالصفار قدم بغداد حاجا، في سنة خمس وأربعمائة، وحدث بها عن نصر بن أحمد بن إسماعيل الكشاني.</w:t>
      </w:r>
    </w:p>
    <w:p/>
    <w:p>
      <w:pPr/>
      <w:r>
        <w:rPr/>
        <w:t xml:space="preserve">قال الخطيب: حدثني عنه الحسن بن علي بن محمد المذهب، وأثنى عليه خيرا.</w:t>
      </w:r>
    </w:p>
    <w:p>
      <w:pPr>
        <w:jc w:val="start"/>
        <w:bidi/>
      </w:pPr>
      <w:r>
        <w:rPr>
          <w:sz w:val="24"/>
          <w:szCs w:val="24"/>
          <w:b w:val="1"/>
          <w:bCs w:val="1"/>
          <w:rtl/>
        </w:rPr>
        <w:t xml:space="preserve">
الطبقات السنية في تراجم الحنفية،(دار الرفاعي - الرياض،1983،ط 0،ج 1،ص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أحمد بن شيت، أبو نصر البخاري الصفار.
</w:t>
      </w:r>
    </w:p>
    <w:p>
      <w:pPr/>
      <w:r>
        <w:rPr/>
        <w:t xml:space="preserve">إسحاق بن أحمد بن شيت، أبو نصر البخاري الصفار. </w:t>
      </w:r>
    </w:p>
    <w:p/>
    <w:p>
      <w:pPr/>
      <w:r>
        <w:rPr/>
        <w:t xml:space="preserve">حدث عنه الحسن بن علي بن محمد المذهب، وأثنى عليه خيراً. قاله الخطيب.</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أحمد بن شيث بن الحكم الأديب أبو نصر البخاري الصفار 
</w:t>
      </w:r>
    </w:p>
    <w:p>
      <w:pPr/>
      <w:r>
        <w:rPr/>
        <w:t xml:space="preserve">إسحاق بن أحمد بن شيث بن الحكم الأديب، أبو نصر البخاريّ الصفّار. </w:t>
      </w:r>
    </w:p>
    <w:p/>
    <w:p>
      <w:pPr/>
      <w:r>
        <w:rPr/>
        <w:t xml:space="preserve">ذكره تاج الإسلام أبو سعد ابن السّمعانيّ وقال: كان من أفراد الزمان في علم العربيّة والمعرفة بدقائقها الخفيّة، وكان فقيها. ورد بغداد، وخرج إلى الحجاز، وسكن الطائف، وبها كانت وفاته.</w:t>
      </w:r>
    </w:p>
    <w:p/>
    <w:p>
      <w:pPr/>
      <w:r>
        <w:rPr/>
        <w:t xml:space="preserve">وله من التصانيف: كتاب المدخل إلى سيبويه، وكتاب المدخل الصّغير في النّحو، وكتاب الردّ على حمزة في حدوث التصحيف.</w:t>
      </w:r>
    </w:p>
    <w:p/>
    <w:p>
      <w:pPr/>
      <w:r>
        <w:rPr/>
        <w:t xml:space="preserve">ومات في سنة خمس وأربع مائة.</w:t>
      </w:r>
    </w:p>
    <w:p>
      <w:pPr>
        <w:jc w:val="start"/>
        <w:bidi/>
      </w:pPr>
      <w:r>
        <w:rPr>
          <w:sz w:val="24"/>
          <w:szCs w:val="24"/>
          <w:b w:val="1"/>
          <w:bCs w:val="1"/>
          <w:rtl/>
        </w:rPr>
        <w:t xml:space="preserve">
الدر الثمين في أسماء المصنفين،(دار الغرب الإسلامي - تونس،2009،ط 1،ج 1،ص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أحمد بن شبيب بن نصر بن شبيب بن الحكم بن أقلذ بن عقبة بن يزيد بن سلمة بن رؤبة بن خفاتة بن وائل بن هضيم بن ذبيان، أبو نصر
</w:t>
      </w:r>
    </w:p>
    <w:p>
      <w:pPr/>
      <w:r>
        <w:rPr/>
        <w:t xml:space="preserve">إسحاق بن أحمد بن شبيب بن نصر بن شبيب بن الحكم بن أقلذ بن عقبة بن يزيد بن سلمة بن رؤبة بن خفاتة بن وائل بن هضيم بن ذبيان، أبو نصر، الصفار، البخاري، الأديب، الفقه الحنفي. </w:t>
      </w:r>
    </w:p>
    <w:p/>
    <w:p>
      <w:pPr/>
      <w:r>
        <w:rPr/>
        <w:t xml:space="preserve">حدث عن: نصر بن أحمد بن إسماعيل الكشاني، وغيره.</w:t>
      </w:r>
    </w:p>
    <w:p/>
    <w:p>
      <w:pPr/>
      <w:r>
        <w:rPr/>
        <w:t xml:space="preserve">وعنه: أبو عبد الله الحاكم، والحسن بن علي بن محمد بن المذهب البغدادي.</w:t>
      </w:r>
    </w:p>
    <w:p/>
    <w:p>
      <w:pPr/>
      <w:r>
        <w:rPr/>
        <w:t xml:space="preserve">قال الحاكم في ’’تاريخه’’: الفقيه الأديب، قدم علينا حاجاً وما كنت رأيت مثله ببخارى في سنه في حفظ الأدب والفقه، وقد طلب الحديث في أنواعٍ من العلم، وأنشدني لنفسه من الشعر المتين ما يطول شرحه.</w:t>
      </w:r>
    </w:p>
    <w:p/>
    <w:p>
      <w:pPr/>
      <w:r>
        <w:rPr/>
        <w:t xml:space="preserve">وقال الخطيب: قدم بغداد حاجاً سنة خمس وأربعمائة، وحدث بها، حدثني عنه ابن المذهب، وأثنى عليه خيراً وقال عبد الغفار الفارسي: الإمام البارع في أنواع العلوم، قدم حاجاً سنة خمس وأربعمائة، له التصانيف الحسان والشعر المتين. وقال السمعاني في ’’تاريخ مرو’’: ورد خراسان ثم خرج إلى العراق والحجاز، وسكن الطائف، وبها توفي وقبره بها معروف، وله تصانيف في اللغة، وكان حسن الشعر. وقال في ’’الأنساب’’: له بيت في العلم إلى الساعة ببخارى، ورأيت من أولاده جماعة، وسكن مكة - حرسها الله -، وكثرت تصانيفه، وانتشر علمه بها. قال ياقوت: كان أحد أفراد الزمان في علم العربية والمعرفة بدقائقها الخفية، وكان فقيهاً، ورأيت له كتاباً في النحو عجيباً سماه: ’’كتاب المدخل إلى سيبويه’’ ذكر فيه المبنيات فقط، يكون نحواً من خمسمائة ورقة، ووقفت له على كلام من تبحر في هذا الشأن، واشتمل على غوامضه إلى أقصى مكان، وله غير ذلك من التصانيف في الأدب، وكتاب ’’المدخل الصغير’’ في النحو، وكتاب ’’الرد على حمزة في حدوث التصحيف’’.</w:t>
      </w:r>
    </w:p>
    <w:p/>
    <w:p>
      <w:pPr/>
      <w:r>
        <w:rPr/>
        <w:t xml:space="preserve">مات بطائف بعد سنة خمس وأربعمائة.</w:t>
      </w:r>
    </w:p>
    <w:p/>
    <w:p>
      <w:pPr/>
      <w:r>
        <w:rPr/>
        <w:t xml:space="preserve">قلت: [ثقة فقيه لغوي].</w:t>
      </w:r>
    </w:p>
    <w:p/>
    <w:p>
      <w:pPr/>
      <w:r>
        <w:rPr/>
        <w:t xml:space="preserve">’’مختصر تاريخ نيسابور’’ (40/ ب)، ’’تاريخ بغداد’’ (6/ 403)، ’’الأنساب’’ (3/ 554)، ’’المنتخب من السياق’’ (380)، ’’معجم الأدباء’’ (6/ 66)، ’’الوافي بالوفيات’’ (8/ 401)، ’’الجواهر المضية’’ (1/ 365)، ’’العقد الثمين’’ (3/ 17)، ’’تاج التراجم’’ (34) ’’بغية الوعاة’’ (1/ 55)، ’’الطبقات السنية’’ (2/ 151).</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2026-06-13T19:46:11+03:00</dcterms:created>
  <dcterms:modified xsi:type="dcterms:W3CDTF">2026-06-13T19:46:11+03:00</dcterms:modified>
</cp:coreProperties>
</file>

<file path=docProps/custom.xml><?xml version="1.0" encoding="utf-8"?>
<Properties xmlns="http://schemas.openxmlformats.org/officeDocument/2006/custom-properties" xmlns:vt="http://schemas.openxmlformats.org/officeDocument/2006/docPropsVTypes"/>
</file>