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عمار بن مهدي بن إبراهيم
</w:t>
      </w:r>
    </w:p>
    <w:p>
      <w:pPr>
        <w:jc w:val="start"/>
        <w:bidi/>
      </w:pPr>
      <w:r>
        <w:rPr>
          <w:rFonts w:ascii="arial" w:hAnsi="arial" w:eastAsia="arial" w:cs="arial"/>
          <w:sz w:val="28"/>
          <w:szCs w:val="28"/>
          <w:b w:val="1"/>
          <w:bCs w:val="1"/>
          <w:rtl/>
        </w:rPr>
        <w:t xml:space="preserve">أحمد بن محمد بن عمار بن مهدي بن إبراهيم
</w:t>
      </w:r>
    </w:p>
    <w:p>
      <w:pPr/>
      <w:r>
        <w:rPr/>
        <w:t xml:space="preserve">أحمد بن محمد بن عمار بن مهدي بن إبراهيم المهدوي أبو العباس المقرئ: ذكره الحميدي فقال: أصله من المهدية من بلاد القيروان، ودخل الاندلس في حدود الثلاثين وأربعمائة أو نحوها، وكان عالما بالقراءات والأدب متقدما، ذكره لي بعض أهل العلم بالقراءات وأثنى عليه، وأنشدني له في ظاءات القرآن:</w:t>
      </w:r>
    </w:p>
    <w:p/>
    <w:p>
      <w:pPr>
        <w:jc w:val="center"/>
      </w:pPr>
      <w:r>
        <w:rPr>
          <w:color w:val="ff0000"/>
        </w:rPr>
        <w:t xml:space="preserve">ظنت عظيمة ظلمنا من حظها</w:t>
      </w:r>
      <w:r>
        <w:rPr>
          <w:color w:val="ff0000"/>
        </w:rPr>
        <w:t xml:space="preserve">      </w:t>
      </w:r>
      <w:r>
        <w:rPr>
          <w:color w:val="ff0000"/>
        </w:rPr>
        <w:t xml:space="preserve">فظللت أوقظها لتكظم غيظها</w:t>
      </w:r>
    </w:p>
    <w:p/>
    <w:p>
      <w:pPr>
        <w:jc w:val="center"/>
      </w:pPr>
      <w:r>
        <w:rPr>
          <w:color w:val="ff0000"/>
        </w:rPr>
        <w:t xml:space="preserve">وظعنت أنظر في الظلام وظله</w:t>
      </w:r>
      <w:r>
        <w:rPr>
          <w:color w:val="ff0000"/>
        </w:rPr>
        <w:t xml:space="preserve">      </w:t>
      </w:r>
      <w:r>
        <w:rPr>
          <w:color w:val="ff0000"/>
        </w:rPr>
        <w:t xml:space="preserve">ظمآن أنتظر الظهور لوعظها</w:t>
      </w:r>
    </w:p>
    <w:p/>
    <w:p>
      <w:pPr>
        <w:jc w:val="center"/>
      </w:pPr>
      <w:r>
        <w:rPr>
          <w:color w:val="ff0000"/>
        </w:rPr>
        <w:t xml:space="preserve">ظهري وظفري ثم عظمي في لظى</w:t>
      </w:r>
      <w:r>
        <w:rPr>
          <w:color w:val="ff0000"/>
        </w:rPr>
        <w:t xml:space="preserve">      </w:t>
      </w:r>
      <w:r>
        <w:rPr>
          <w:color w:val="ff0000"/>
        </w:rPr>
        <w:t xml:space="preserve">لا ظاهرن لحظها ولحفظها</w:t>
      </w:r>
    </w:p>
    <w:p/>
    <w:p>
      <w:pPr>
        <w:jc w:val="center"/>
      </w:pPr>
      <w:r>
        <w:rPr>
          <w:color w:val="ff0000"/>
        </w:rPr>
        <w:t xml:space="preserve">لفظي شواظ أو كشمس ظهيرة</w:t>
      </w:r>
      <w:r>
        <w:rPr>
          <w:color w:val="ff0000"/>
        </w:rPr>
        <w:t xml:space="preserve">      </w:t>
      </w:r>
      <w:r>
        <w:rPr>
          <w:color w:val="ff0000"/>
        </w:rPr>
        <w:t xml:space="preserve">ظفر لدى غلظ القلوب وفظها</w:t>
      </w:r>
    </w:p>
    <w:p/>
    <w:p>
      <w:pPr/>
      <w:r>
        <w:rPr/>
        <w:t xml:space="preserve">وله كتب في علم القرآن منها كتاب التحصيل في تفسير القرآن. وكتاب التفصيل في تفسيره أيضا، وله غير ذلك .</w:t>
      </w:r>
    </w:p>
    <w:p>
      <w:pPr>
        <w:jc w:val="start"/>
        <w:bidi/>
      </w:pPr>
      <w:r>
        <w:rPr>
          <w:sz w:val="24"/>
          <w:szCs w:val="24"/>
          <w:b w:val="1"/>
          <w:bCs w:val="1"/>
          <w:rtl/>
        </w:rPr>
        <w:t xml:space="preserve">
معجم الأدباء / إرشاد الأريب إلى معرفة الأديب،(دار الغرب الإسلامي - بيروت،1993،ط 0،ج 2،ص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عمار بن مهدي بن إبراهيم المهدوي 
</w:t>
      </w:r>
    </w:p>
    <w:p>
      <w:pPr/>
      <w:r>
        <w:rPr/>
        <w:t xml:space="preserve">أحمد بن محمد بن عمّار بن مهديّ بن إبراهيم المهدويّ. </w:t>
      </w:r>
    </w:p>
    <w:p/>
    <w:p>
      <w:pPr/>
      <w:r>
        <w:rPr/>
        <w:t xml:space="preserve">ذكره الحميديّ وقال: أصله من المهديّة من بلاد القيروان، ودخل الأندلس، وكان عالما بالقراءات والأدب.</w:t>
      </w:r>
    </w:p>
    <w:p/>
    <w:p>
      <w:pPr/>
      <w:r>
        <w:rPr/>
        <w:t xml:space="preserve">وله كتب في علم القرآن، منها: كتاب التحصيل في التفسير، وكتاب التفصيل في تفسيره.</w:t>
      </w:r>
    </w:p>
    <w:p/>
    <w:p>
      <w:pPr/>
      <w:r>
        <w:rPr/>
        <w:t xml:space="preserve">ومات بعد الثلاثين وأربع مائة.</w:t>
      </w:r>
    </w:p>
    <w:p>
      <w:pPr>
        <w:jc w:val="start"/>
        <w:bidi/>
      </w:pPr>
      <w:r>
        <w:rPr>
          <w:sz w:val="24"/>
          <w:szCs w:val="24"/>
          <w:b w:val="1"/>
          <w:bCs w:val="1"/>
          <w:rtl/>
        </w:rPr>
        <w:t xml:space="preserve">
الدر الثمين في أسماء المصنفين،(دار الغرب الإسلامي - تونس،2009،ط 1،ج 1،ص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2026-06-13T19:46:34+03:00</dcterms:created>
  <dcterms:modified xsi:type="dcterms:W3CDTF">2026-06-13T19:46:34+03:00</dcterms:modified>
</cp:coreProperties>
</file>

<file path=docProps/custom.xml><?xml version="1.0" encoding="utf-8"?>
<Properties xmlns="http://schemas.openxmlformats.org/officeDocument/2006/custom-properties" xmlns:vt="http://schemas.openxmlformats.org/officeDocument/2006/docPropsVTypes"/>
</file>