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ابن بنت الشافعي
</w:t>
      </w:r>
    </w:p>
    <w:p>
      <w:pPr>
        <w:jc w:val="start"/>
        <w:bidi/>
      </w:pPr>
      <w:r>
        <w:rPr>
          <w:rFonts w:ascii="arial" w:hAnsi="arial" w:eastAsia="arial" w:cs="arial"/>
          <w:sz w:val="28"/>
          <w:szCs w:val="28"/>
          <w:b w:val="1"/>
          <w:bCs w:val="1"/>
          <w:rtl/>
        </w:rPr>
        <w:t xml:space="preserve">أحمد بن محمد ابن بنت الشافعي
</w:t>
      </w:r>
    </w:p>
    <w:p>
      <w:pPr/>
      <w:r>
        <w:rPr/>
        <w:t xml:space="preserve">أحمد بن محمد ابن بنت الشافعي هو صحيح الخط متقن الضبط من أهل الأدب يعتمد على خطه وضبطه، لا أعرف من خطه إلا ما رأيته بخطه بكتاب تفسير القرآن لابن جرير الطبري وقد ذكر عند خاتمته: «وكتبه أحمد بن محمد ابن بنت الشافعي وراق الجهشياري» .</w:t>
      </w:r>
    </w:p>
    <w:p>
      <w:pPr>
        <w:jc w:val="start"/>
        <w:bidi/>
      </w:pPr>
      <w:r>
        <w:rPr>
          <w:sz w:val="24"/>
          <w:szCs w:val="24"/>
          <w:b w:val="1"/>
          <w:bCs w:val="1"/>
          <w:rtl/>
        </w:rPr>
        <w:t xml:space="preserve">
معجم الأدباء / إرشاد الأريب إلى معرفة الأديب،(دار الغرب الإسلامي - بيروت،1993،ط 0،ج 1،ص 454)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2026-06-15T15:04:23+03:00</dcterms:created>
  <dcterms:modified xsi:type="dcterms:W3CDTF">2026-06-15T15:04:23+03:00</dcterms:modified>
</cp:coreProperties>
</file>

<file path=docProps/custom.xml><?xml version="1.0" encoding="utf-8"?>
<Properties xmlns="http://schemas.openxmlformats.org/officeDocument/2006/custom-properties" xmlns:vt="http://schemas.openxmlformats.org/officeDocument/2006/docPropsVTypes"/>
</file>