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هارون بن علي بن يحيى بن أبي منصور المنجم، أبو الفتح
</w:t>
      </w:r>
    </w:p>
    <w:p>
      <w:pPr>
        <w:jc w:val="start"/>
        <w:bidi/>
      </w:pPr>
      <w:r>
        <w:rPr>
          <w:rFonts w:ascii="arial" w:hAnsi="arial" w:eastAsia="arial" w:cs="arial"/>
          <w:sz w:val="28"/>
          <w:szCs w:val="28"/>
          <w:b w:val="1"/>
          <w:bCs w:val="1"/>
          <w:rtl/>
        </w:rPr>
        <w:t xml:space="preserve">أحمد بن علي بن هارون بن علي بن يحيى بن أبي منصور المنجم، أبو الفتح
</w:t>
      </w:r>
    </w:p>
    <w:p>
      <w:pPr/>
      <w:r>
        <w:rPr/>
        <w:t xml:space="preserve">أحمد بن علي بن هارون بن علي بن يحيى بن أبي منصور المنجم، أبو الفتح أحد من سلك سبيل آبائه في طرق الأداب واهتدى بهم في التولج إلى الفضائل من كل فن، روى عنه أبو علي التنوخي في «نشواره» فأكثر، ووصفه بالفضل وما قصر، وأنشد له أشعارا قال: أنشدني أبو الفتح أحمد بن علي بن هارون بن يحيى المنجم في الوزير أبي الفرج محمد بن العباس بن فسانجس في وزارته، وقد عمل على الانحدار إلى الأهواز لنفسه:</w:t>
      </w:r>
    </w:p>
    <w:p/>
    <w:p>
      <w:pPr>
        <w:jc w:val="center"/>
      </w:pPr>
      <w:r>
        <w:rPr>
          <w:color w:val="ff0000"/>
        </w:rPr>
        <w:t xml:space="preserve">قل للوزير سليل المجد والكرم</w:t>
      </w:r>
      <w:r>
        <w:rPr>
          <w:color w:val="ff0000"/>
        </w:rPr>
        <w:t xml:space="preserve">      </w:t>
      </w:r>
      <w:r>
        <w:rPr>
          <w:color w:val="ff0000"/>
        </w:rPr>
        <w:t xml:space="preserve">ومن له قامت الدنيا على قدم</w:t>
      </w:r>
    </w:p>
    <w:p/>
    <w:p>
      <w:pPr>
        <w:jc w:val="center"/>
      </w:pPr>
      <w:r>
        <w:rPr>
          <w:color w:val="ff0000"/>
        </w:rPr>
        <w:t xml:space="preserve">ومن يداه معا تجري ندى وردى</w:t>
      </w:r>
      <w:r>
        <w:rPr>
          <w:color w:val="ff0000"/>
        </w:rPr>
        <w:t xml:space="preserve">      </w:t>
      </w:r>
      <w:r>
        <w:rPr>
          <w:color w:val="ff0000"/>
        </w:rPr>
        <w:t xml:space="preserve">يجريهما عدل حكم السيف والقلم</w:t>
      </w:r>
    </w:p>
    <w:p/>
    <w:p>
      <w:pPr>
        <w:jc w:val="center"/>
      </w:pPr>
      <w:r>
        <w:rPr>
          <w:color w:val="ff0000"/>
        </w:rPr>
        <w:t xml:space="preserve">ومن إذا هم أن تمضي عزائمه</w:t>
      </w:r>
      <w:r>
        <w:rPr>
          <w:color w:val="ff0000"/>
        </w:rPr>
        <w:t xml:space="preserve">      </w:t>
      </w:r>
      <w:r>
        <w:rPr>
          <w:color w:val="ff0000"/>
        </w:rPr>
        <w:t xml:space="preserve">رأيت ما تفعل الأقدار في الأمم</w:t>
      </w:r>
    </w:p>
    <w:p/>
    <w:p>
      <w:pPr>
        <w:jc w:val="center"/>
      </w:pPr>
      <w:r>
        <w:rPr>
          <w:color w:val="ff0000"/>
        </w:rPr>
        <w:t xml:space="preserve">ومن عوارفه تهمي وعادته</w:t>
      </w:r>
      <w:r>
        <w:rPr>
          <w:color w:val="ff0000"/>
        </w:rPr>
        <w:t xml:space="preserve">      </w:t>
      </w:r>
      <w:r>
        <w:rPr>
          <w:color w:val="ff0000"/>
        </w:rPr>
        <w:t xml:space="preserve">في رب بدأته تنمي على القدم</w:t>
      </w:r>
    </w:p>
    <w:p/>
    <w:p>
      <w:pPr>
        <w:jc w:val="center"/>
      </w:pPr>
      <w:r>
        <w:rPr>
          <w:color w:val="ff0000"/>
        </w:rPr>
        <w:t xml:space="preserve">لأنت أشهر في رعي الذمام وفي</w:t>
      </w:r>
      <w:r>
        <w:rPr>
          <w:color w:val="ff0000"/>
        </w:rPr>
        <w:t xml:space="preserve">      </w:t>
      </w:r>
      <w:r>
        <w:rPr>
          <w:color w:val="ff0000"/>
        </w:rPr>
        <w:t xml:space="preserve">حكم التكرم من نار على علم</w:t>
      </w:r>
    </w:p>
    <w:p/>
    <w:p>
      <w:pPr>
        <w:jc w:val="center"/>
      </w:pPr>
      <w:r>
        <w:rPr>
          <w:color w:val="ff0000"/>
        </w:rPr>
        <w:t xml:space="preserve">العبد عبدك في قرب وفي بعد</w:t>
      </w:r>
      <w:r>
        <w:rPr>
          <w:color w:val="ff0000"/>
        </w:rPr>
        <w:t xml:space="preserve">      </w:t>
      </w:r>
      <w:r>
        <w:rPr>
          <w:color w:val="ff0000"/>
        </w:rPr>
        <w:t xml:space="preserve">وأنت مولاه إن تظعن وإن تقم</w:t>
      </w:r>
    </w:p>
    <w:p/>
    <w:p>
      <w:pPr>
        <w:jc w:val="center"/>
      </w:pPr>
      <w:r>
        <w:rPr>
          <w:color w:val="ff0000"/>
        </w:rPr>
        <w:t xml:space="preserve">فمره يتبعك أو لا فاعتمده بما</w:t>
      </w:r>
      <w:r>
        <w:rPr>
          <w:color w:val="ff0000"/>
        </w:rPr>
        <w:t xml:space="preserve">      </w:t>
      </w:r>
      <w:r>
        <w:rPr>
          <w:color w:val="ff0000"/>
        </w:rPr>
        <w:t xml:space="preserve">تجري به عادة الملاك في الخدم</w:t>
      </w:r>
    </w:p>
    <w:p/>
    <w:p>
      <w:pPr/>
      <w:r>
        <w:rPr/>
        <w:t xml:space="preserve">قال: وأنشدني لنفسه، وذكر أنه لا يوجد لها قافية رابعة من جنسها في الحلاوة:</w:t>
      </w:r>
    </w:p>
    <w:p/>
    <w:p>
      <w:pPr>
        <w:jc w:val="center"/>
      </w:pPr>
      <w:r>
        <w:rPr>
          <w:color w:val="ff0000"/>
        </w:rPr>
        <w:t xml:space="preserve">سيدي أنت ومن عادته</w:t>
      </w:r>
      <w:r>
        <w:rPr>
          <w:color w:val="ff0000"/>
        </w:rPr>
        <w:t xml:space="preserve">      </w:t>
      </w:r>
      <w:r>
        <w:rPr>
          <w:color w:val="ff0000"/>
        </w:rPr>
        <w:t xml:space="preserve">باعتداء وبجور جاريه</w:t>
      </w:r>
    </w:p>
    <w:p/>
    <w:p>
      <w:pPr>
        <w:jc w:val="center"/>
      </w:pPr>
      <w:r>
        <w:rPr>
          <w:color w:val="ff0000"/>
        </w:rPr>
        <w:t xml:space="preserve">أنصف المظلوم وارحم عبرة</w:t>
      </w:r>
      <w:r>
        <w:rPr>
          <w:color w:val="ff0000"/>
        </w:rPr>
        <w:t xml:space="preserve">      </w:t>
      </w:r>
      <w:r>
        <w:rPr>
          <w:color w:val="ff0000"/>
        </w:rPr>
        <w:t xml:space="preserve">بدموع ودماء جاريه</w:t>
      </w:r>
    </w:p>
    <w:p/>
    <w:p>
      <w:pPr>
        <w:jc w:val="center"/>
      </w:pPr>
      <w:r>
        <w:rPr>
          <w:color w:val="ff0000"/>
        </w:rPr>
        <w:t xml:space="preserve">ربما أكني بقولي سيدي</w:t>
      </w:r>
      <w:r>
        <w:rPr>
          <w:color w:val="ff0000"/>
        </w:rPr>
        <w:t xml:space="preserve">      </w:t>
      </w:r>
      <w:r>
        <w:rPr>
          <w:color w:val="ff0000"/>
        </w:rPr>
        <w:t xml:space="preserve">عند شكواي الهوى عن جاريه</w:t>
      </w:r>
    </w:p>
    <w:p/>
    <w:p>
      <w:pPr/>
      <w:r>
        <w:rPr/>
        <w:t xml:space="preserve">قال: وأنشدني لنفسه والقافية كلها «عود» باختلاف المعنى:</w:t>
      </w:r>
    </w:p>
    <w:p/>
    <w:p>
      <w:pPr>
        <w:jc w:val="center"/>
      </w:pPr>
      <w:r>
        <w:rPr>
          <w:color w:val="ff0000"/>
        </w:rPr>
        <w:t xml:space="preserve">العيش عافية والراح والعود</w:t>
      </w:r>
      <w:r>
        <w:rPr>
          <w:color w:val="ff0000"/>
        </w:rPr>
        <w:t xml:space="preserve">      </w:t>
      </w:r>
      <w:r>
        <w:rPr>
          <w:color w:val="ff0000"/>
        </w:rPr>
        <w:t xml:space="preserve">فكل من حاز هذا فهو مسعود</w:t>
      </w:r>
    </w:p>
    <w:p/>
    <w:p>
      <w:pPr>
        <w:jc w:val="center"/>
      </w:pPr>
      <w:r>
        <w:rPr>
          <w:color w:val="ff0000"/>
        </w:rPr>
        <w:t xml:space="preserve">ضهذا الذي لكم في مجلس أنق</w:t>
      </w:r>
      <w:r>
        <w:rPr>
          <w:color w:val="ff0000"/>
        </w:rPr>
        <w:t xml:space="preserve">      </w:t>
      </w:r>
      <w:r>
        <w:rPr>
          <w:color w:val="ff0000"/>
        </w:rPr>
        <w:t xml:space="preserve">أشجاره العنبر الهندي والعود</w:t>
      </w:r>
    </w:p>
    <w:p/>
    <w:p>
      <w:pPr>
        <w:jc w:val="center"/>
      </w:pPr>
      <w:r>
        <w:rPr>
          <w:color w:val="ff0000"/>
        </w:rPr>
        <w:t xml:space="preserve">وقينة وعدها بالخلف مقترن</w:t>
      </w:r>
      <w:r>
        <w:rPr>
          <w:color w:val="ff0000"/>
        </w:rPr>
        <w:t xml:space="preserve">      </w:t>
      </w:r>
      <w:r>
        <w:rPr>
          <w:color w:val="ff0000"/>
        </w:rPr>
        <w:t xml:space="preserve">بما يؤمله راج وموعود</w:t>
      </w:r>
    </w:p>
    <w:p/>
    <w:p>
      <w:pPr>
        <w:jc w:val="center"/>
      </w:pPr>
      <w:r>
        <w:rPr>
          <w:color w:val="ff0000"/>
        </w:rPr>
        <w:t xml:space="preserve">وفتية كنجوم الليل دأبهم</w:t>
      </w:r>
      <w:r>
        <w:rPr>
          <w:color w:val="ff0000"/>
        </w:rPr>
        <w:t xml:space="preserve">      </w:t>
      </w:r>
      <w:r>
        <w:rPr>
          <w:color w:val="ff0000"/>
        </w:rPr>
        <w:t xml:space="preserve">إعمال كأس حذاها النار والعود</w:t>
      </w:r>
    </w:p>
    <w:p/>
    <w:p>
      <w:pPr>
        <w:jc w:val="center"/>
      </w:pPr>
      <w:r>
        <w:rPr>
          <w:color w:val="ff0000"/>
        </w:rPr>
        <w:t xml:space="preserve">فاغدوا علي بكاس الراح مترعة</w:t>
      </w:r>
      <w:r>
        <w:rPr>
          <w:color w:val="ff0000"/>
        </w:rPr>
        <w:t xml:space="preserve">      </w:t>
      </w:r>
      <w:r>
        <w:rPr>
          <w:color w:val="ff0000"/>
        </w:rPr>
        <w:t xml:space="preserve">عودا وبدءا فإن أحمدتم عودوا</w:t>
      </w:r>
    </w:p>
    <w:p/>
    <w:p>
      <w:pPr>
        <w:jc w:val="start"/>
        <w:bidi/>
      </w:pPr>
      <w:r>
        <w:rPr>
          <w:sz w:val="24"/>
          <w:szCs w:val="24"/>
          <w:b w:val="1"/>
          <w:bCs w:val="1"/>
          <w:rtl/>
        </w:rPr>
        <w:t xml:space="preserve">
معجم الأدباء / إرشاد الأريب إلى معرفة الأديب،(دار الغرب الإسلامي - بيروت،1993،ط 0،ج 1،ص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هارون بن أبي منصور المنجم، أبو الفتح البغدادي.
</w:t>
      </w:r>
    </w:p>
    <w:p>
      <w:pPr/>
      <w:r>
        <w:rPr/>
        <w:t xml:space="preserve">أحمد بن علي بن هارون بن أبي منصور المنجم، أبو الفتح البغدادي. </w:t>
      </w:r>
    </w:p>
    <w:p/>
    <w:p>
      <w:pPr/>
      <w:r>
        <w:rPr/>
        <w:t xml:space="preserve">قال الخطيب: كان ثقة، حدث عن أبيه، وكان أبوه مشهوراً بالفضل والأدب وخدمة الخلفاء.</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2026-06-15T14:25:08+03:00</dcterms:created>
  <dcterms:modified xsi:type="dcterms:W3CDTF">2026-06-15T14:25:08+03:00</dcterms:modified>
</cp:coreProperties>
</file>

<file path=docProps/custom.xml><?xml version="1.0" encoding="utf-8"?>
<Properties xmlns="http://schemas.openxmlformats.org/officeDocument/2006/custom-properties" xmlns:vt="http://schemas.openxmlformats.org/officeDocument/2006/docPropsVTypes"/>
</file>