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مسلم بن قتيبة أبو جعفر الكاتب
</w:t>
      </w:r>
    </w:p>
    <w:p>
      <w:pPr>
        <w:jc w:val="start"/>
        <w:bidi/>
      </w:pPr>
      <w:r>
        <w:rPr>
          <w:rFonts w:ascii="arial" w:hAnsi="arial" w:eastAsia="arial" w:cs="arial"/>
          <w:sz w:val="28"/>
          <w:szCs w:val="28"/>
          <w:b w:val="1"/>
          <w:bCs w:val="1"/>
          <w:rtl/>
        </w:rPr>
        <w:t xml:space="preserve">أحمد بن عبد الله بن مسلم بن قتيبة أبو جعفر الكاتب
</w:t>
      </w:r>
    </w:p>
    <w:p>
      <w:pPr/>
      <w:r>
        <w:rPr/>
        <w:t xml:space="preserve">أحمد بن عبد الله بن مسلم بن قتيبة أبو جعفر الكاتب ولد ببغداد ومات بمصر وهو على قضائها سنة اثنتين وعشرين وثلاثمائة وقد روى عن أبيه تصانيفه كلها، حدث عنه أبو الفتح المراغي النحوي وعبد الرحمن بن إسحاق الزجاجي وغيرهما وقال أبو يعقوب يوسف بن يعقوب بن خرزاذ إن أبا جعفر ابن قتيبة حدث بكتب أبيه كلها بمصر حفظا ولم يكن معه كتاب، وأحسب ذكر ذلك عن أبي الحسين المهلبي.</w:t>
      </w:r>
    </w:p>
    <w:p/>
    <w:p>
      <w:pPr/>
      <w:r>
        <w:rPr/>
        <w:t xml:space="preserve">وحدث أبو سعيد ابن يونس قال: قدم أحمد بن عبد الله بن مسلم بن قتيبة مصر سنة إحدى وعشرين وثلاثمائة وتولى بها القضاء، وتوفي بها وهو على القضاء سنة اثنتين وعشرين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1،ص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مسلم بن قتيبة بن مسلم
</w:t>
      </w:r>
    </w:p>
    <w:p>
      <w:pPr/>
      <w:r>
        <w:rPr/>
        <w:t xml:space="preserve">أحمد بن عبد الله بن مسلم بن قتيبة بن مسلم الدينوري الأصل البغدادي المنشأ أبو جعفر كان مالكي المذهب من أهل العلم والحفظ لكتب أبيه والإتقان. وسمعت منه كتب أبيه من حفظه وكان يحفظها كما يحفظ القرآن ويرد فيها من حفظه النقطة والشكلة وما معه نسخة. كان أبوه أبو محمد حفظه إياها في اللوح وعدتها أحد وعشرون مصنفا.</w:t>
      </w:r>
    </w:p>
    <w:p/>
    <w:p>
      <w:pPr/>
      <w:r>
        <w:rPr/>
        <w:t xml:space="preserve">كتاب المشكل وكتاب معاني القرآن وكتاب غريب الحديث وكتاب عيون الأخبار وكتاب مختلف الحديث وكتاب الفقه وكتاب المعارف وكتاب أعلام النبوة وكتاب العرب والعجم وكتاب الأنواء وكتاب الميسر وكتاب طبقات الشعراء وكتاب معاني الشعر وكتاب إصلاح الغلط وكتاب أدب الكاتب وكتاب الأبنية وكتاب النحو</w:t>
      </w:r>
    </w:p>
    <w:p/>
    <w:p>
      <w:pPr/>
      <w:r>
        <w:rPr/>
        <w:t xml:space="preserve">وكتاب المسائل وكتاب القراءات.</w:t>
      </w:r>
    </w:p>
    <w:p/>
    <w:p>
      <w:pPr/>
      <w:r>
        <w:rPr/>
        <w:t xml:space="preserve">سمع منه خلق كثير عظيم من الجلة بالعراق ومصر كأحمد بن ولاد وأبي جعفر النحاس وأبي عاصم المظفر بن أحمد وأبي علي الغلال وغيرهم من جلة أهل الأدب والرواية وكان مجلسه محشوا بعيون الناس وأعيان النبهاء ولم يكن عنده حديث إلا ما في كتب أبيه.</w:t>
      </w:r>
    </w:p>
    <w:p/>
    <w:p>
      <w:pPr/>
      <w:r>
        <w:rPr/>
        <w:t xml:space="preserve">وولي قضاء مصر سنة إحدى وعشرين وثلاثمائة ووردها وقد لبس السواد وحكم في جامعها. وتوفي في ربيع الأول سنة اثنين وعشرين بمصر بعد صرفه. وكانت ولايته القضاء بمصر ثلاثة أشهر رحمه الله تعالى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2026-06-15T14:24:19+03:00</dcterms:created>
  <dcterms:modified xsi:type="dcterms:W3CDTF">2026-06-15T14:24:19+03:00</dcterms:modified>
</cp:coreProperties>
</file>

<file path=docProps/custom.xml><?xml version="1.0" encoding="utf-8"?>
<Properties xmlns="http://schemas.openxmlformats.org/officeDocument/2006/custom-properties" xmlns:vt="http://schemas.openxmlformats.org/officeDocument/2006/docPropsVTypes"/>
</file>