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
</w:t>
      </w:r>
    </w:p>
    <w:p>
      <w:pPr/>
      <w:r>
        <w:rPr/>
        <w:t xml:space="preserve">أحمد بن إسحاق يعرف بالجفر: حميري النسب مصري الدار، لم أجد له ذكرا إلا في كتاب أبي بكر الزبيدي فإنه ذكره في نحاة مصر وقال: مات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الحميري، المعروف بالجفر
</w:t>
      </w:r>
    </w:p>
    <w:p>
      <w:pPr/>
      <w:r>
        <w:rPr/>
        <w:t xml:space="preserve">أحمد بن إسحاق الحميري، المعروف بالجفر </w:t>
      </w:r>
    </w:p>
    <w:p/>
    <w:p>
      <w:pPr/>
      <w:r>
        <w:rPr/>
        <w:t xml:space="preserve">مات سنة إحدى وثلاثمئة.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5)/(دار سعد الدين للطباعة والنشر والتوزيع،2000،ط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2026-06-19T12:20:19+03:00</dcterms:created>
  <dcterms:modified xsi:type="dcterms:W3CDTF">2026-06-19T12:20:19+03:00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