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إبراهيم بن محمد السجزي
</w:t>
      </w:r>
    </w:p>
    <w:p>
      <w:pPr>
        <w:jc w:val="start"/>
        <w:bidi/>
      </w:pPr>
      <w:r>
        <w:rPr>
          <w:rFonts w:ascii="arial" w:hAnsi="arial" w:eastAsia="arial" w:cs="arial"/>
          <w:sz w:val="28"/>
          <w:szCs w:val="28"/>
          <w:b w:val="1"/>
          <w:bCs w:val="1"/>
          <w:rtl/>
        </w:rPr>
        <w:t xml:space="preserve">أحمد بن إبراهيم بن محمد السجزي
</w:t>
      </w:r>
    </w:p>
    <w:p>
      <w:pPr/>
      <w:r>
        <w:rPr/>
        <w:t xml:space="preserve">أحمد بن إبراهيم بن محمد السجزي أبو نصر، أحد الأدباء الفضلاء: قرأ على أبي بكر عبد القاهر، ثم قرأت بخط سلامة بن عياض الكفرطابي النحوي ما صورته: وجدت في آخر نسخة «المقتصد» لعبد القاهر الجرجاني بالري مكتوبا ما حكايته: قرأ علي الأخ الفقيه أبو نصر أحمد بن إبراهيم بن محمد السجزي، أيده الله، هذا الكتاب من أوله إلى آخره قراءة ضبط وتحصيل، وكتبه عبد القاهر بن عبد الرحمن بخطه في شهر الله المبارك من شهور سنة أربع وخمسين وأربعمائة.</w:t>
      </w:r>
    </w:p>
    <w:p>
      <w:pPr>
        <w:jc w:val="start"/>
        <w:bidi/>
      </w:pPr>
      <w:r>
        <w:rPr>
          <w:sz w:val="24"/>
          <w:szCs w:val="24"/>
          <w:b w:val="1"/>
          <w:bCs w:val="1"/>
          <w:rtl/>
        </w:rPr>
        <w:t xml:space="preserve">
معجم الأدباء / إرشاد الأريب إلى معرفة الأديب،(دار الغرب الإسلامي - بيروت،1993،ط 0،ج 1،ص 187)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2026-06-19T16:32:22+03:00</dcterms:created>
  <dcterms:modified xsi:type="dcterms:W3CDTF">2026-06-19T16:32:22+03:00</dcterms:modified>
</cp:coreProperties>
</file>

<file path=docProps/custom.xml><?xml version="1.0" encoding="utf-8"?>
<Properties xmlns="http://schemas.openxmlformats.org/officeDocument/2006/custom-properties" xmlns:vt="http://schemas.openxmlformats.org/officeDocument/2006/docPropsVTypes"/>
</file>