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يونس زعيم الطائفة اليونسية
</w:t>
      </w:r>
    </w:p>
    <w:p>
      <w:pPr>
        <w:jc w:val="start"/>
        <w:bidi/>
      </w:pPr>
      <w:r>
        <w:rPr>
          <w:rFonts w:ascii="arial" w:hAnsi="arial" w:eastAsia="arial" w:cs="arial"/>
          <w:sz w:val="28"/>
          <w:szCs w:val="28"/>
          <w:b w:val="1"/>
          <w:bCs w:val="1"/>
          <w:rtl/>
        </w:rPr>
        <w:t xml:space="preserve">يونس زعيم الطائفة اليونسية
</w:t>
      </w:r>
    </w:p>
    <w:p>
      <w:pPr/>
      <w:r>
        <w:rPr/>
        <w:t xml:space="preserve">يونس زعيم الطائفة اليونسية يونس النميري، زعيم الطائفة اليونسية من المرجئة، زعم أن الإيمان هو معرفة الله تعالى والخضوع له ومحبته، فمن اجتمعت هذه الخصال فيه فهو مؤمن، وطاعة الله ليس من الإيمان وتركها لا يضر بالإيمان، ولا يعذب تاركها إذا كان إيمانه بالله تعالى خالصا.</w:t>
      </w:r>
    </w:p>
    <w:p>
      <w:pPr>
        <w:jc w:val="start"/>
        <w:bidi/>
      </w:pPr>
      <w:r>
        <w:rPr>
          <w:sz w:val="24"/>
          <w:szCs w:val="24"/>
          <w:b w:val="1"/>
          <w:bCs w:val="1"/>
          <w:rtl/>
        </w:rPr>
        <w:t xml:space="preserve">
الوافي بالوفيات،(دار فرانز شتاينر، فيسبادن، ألمانيا / دار إحياء التراث - بيروت،2000،ط 1،ج 29،ص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2026-06-21T13:38:04+03:00</dcterms:created>
  <dcterms:modified xsi:type="dcterms:W3CDTF">2026-06-21T13:38:04+03:00</dcterms:modified>
</cp:coreProperties>
</file>

<file path=docProps/custom.xml><?xml version="1.0" encoding="utf-8"?>
<Properties xmlns="http://schemas.openxmlformats.org/officeDocument/2006/custom-properties" xmlns:vt="http://schemas.openxmlformats.org/officeDocument/2006/docPropsVTypes"/>
</file>