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المقرئ الخياط
</w:t>
      </w:r>
    </w:p>
    <w:p>
      <w:pPr>
        <w:jc w:val="start"/>
        <w:bidi/>
      </w:pPr>
      <w:r>
        <w:rPr>
          <w:rFonts w:ascii="arial" w:hAnsi="arial" w:eastAsia="arial" w:cs="arial"/>
          <w:sz w:val="28"/>
          <w:szCs w:val="28"/>
          <w:b w:val="1"/>
          <w:bCs w:val="1"/>
          <w:rtl/>
        </w:rPr>
        <w:t xml:space="preserve">يوسف المقرئ الخياط
</w:t>
      </w:r>
    </w:p>
    <w:p>
      <w:pPr/>
      <w:r>
        <w:rPr/>
        <w:t xml:space="preserve">يوسف المقرئ الخياط يوسف بن المبارك بن محمد بن شيبة، أبو القاسم الخياط المقرئ البغداذي؛ كان يتوكل على أبواب القضاة، وقرأ القرآن بالروايات الكثيرة على الرئيس أبي الخطيب علي بن عبد الرحمن بن الجراح، وعلى أبي العز محمد بن الحسين بن بندار الواسطي المعروف بالقلانسي، وعلى غيرهما؛ وسمع الحديث من أبي عثمان إسماعيل بن محمد بن أحمد بن ملا الإصبهاني، وأبي طالب عبد القادر بن محمد بن يوسف، وابن عمه أبي طاهر عبد الرحمن بن أحمد بن عبد القادر، وأبي القاسم هبة الله بن محمد بن الحصين وغيرهم. وروى عنه ابن الأخضر.</w:t>
      </w:r>
    </w:p>
    <w:p/>
    <w:p>
      <w:pPr/>
      <w:r>
        <w:rPr/>
        <w:t xml:space="preserve">قال محب الدين ابن النجار: ولم يكن ثقة لأنه ادعى أنه قرأ على أبي ظاهر بن سوار، وأقرأ عنه شيئا من الروايات فكشف عن ذلك، وهو كذب، وظهر أمره وتركه الناس، وتوفي سنة 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2026-06-21T16:00:09+03:00</dcterms:created>
  <dcterms:modified xsi:type="dcterms:W3CDTF">2026-06-21T16:00:09+03:00</dcterms:modified>
</cp:coreProperties>
</file>

<file path=docProps/custom.xml><?xml version="1.0" encoding="utf-8"?>
<Properties xmlns="http://schemas.openxmlformats.org/officeDocument/2006/custom-properties" xmlns:vt="http://schemas.openxmlformats.org/officeDocument/2006/docPropsVTypes"/>
</file>