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البركات البغداذي
</w:t>
      </w:r>
    </w:p>
    <w:p>
      <w:pPr>
        <w:jc w:val="start"/>
        <w:bidi/>
      </w:pPr>
      <w:r>
        <w:rPr>
          <w:rFonts w:ascii="arial" w:hAnsi="arial" w:eastAsia="arial" w:cs="arial"/>
          <w:sz w:val="28"/>
          <w:szCs w:val="28"/>
          <w:b w:val="1"/>
          <w:bCs w:val="1"/>
          <w:rtl/>
        </w:rPr>
        <w:t xml:space="preserve">يوسف أبو البركات البغداذي
</w:t>
      </w:r>
    </w:p>
    <w:p>
      <w:pPr/>
      <w:r>
        <w:rPr/>
        <w:t xml:space="preserve">يوسف أبو البركات البغداذي يوسف بن المبارك بن المبارك بن عبيد الله بن هبة الله، أبو البركات البغداذي، من أولاد العدول. تولى النظر بديوان التركات الحشرية مدة، ثم ولي الحسبة والنظر في الوقف العام، وقبض عليه وسجن إلى أن مرض وشارف الموت، فأخرج إلى منزله فمات سنة ثلاث عشرة وست مائة. وكان قد سمع مكن أبي محمد محمد بن أحمد بن عبد الكريم التميمي، وأبي المعالي محمد بن محمد بن اللحاس، وأبي الفتح محمد بن عبد الباقي بن البطي، وغيرهم.</w:t>
      </w:r>
    </w:p>
    <w:p/>
    <w:p>
      <w:pPr/>
      <w:r>
        <w:rPr/>
        <w:t xml:space="preserve">قال محب الدين ابن النجار: كان شيخا حسنا يفهم طرقا من العلم ويتنسك ويتدين.</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2026-06-21T16:03:13+03:00</dcterms:created>
  <dcterms:modified xsi:type="dcterms:W3CDTF">2026-06-21T16:03:13+03:00</dcterms:modified>
</cp:coreProperties>
</file>

<file path=docProps/custom.xml><?xml version="1.0" encoding="utf-8"?>
<Properties xmlns="http://schemas.openxmlformats.org/officeDocument/2006/custom-properties" xmlns:vt="http://schemas.openxmlformats.org/officeDocument/2006/docPropsVTypes"/>
</file>