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اسماعيل ابن اللمغاني الحنفي
</w:t>
      </w:r>
    </w:p>
    <w:p>
      <w:pPr>
        <w:jc w:val="start"/>
        <w:bidi/>
      </w:pPr>
      <w:r>
        <w:rPr>
          <w:rFonts w:ascii="arial" w:hAnsi="arial" w:eastAsia="arial" w:cs="arial"/>
          <w:sz w:val="28"/>
          <w:szCs w:val="28"/>
          <w:b w:val="1"/>
          <w:bCs w:val="1"/>
          <w:rtl/>
        </w:rPr>
        <w:t xml:space="preserve">يوسف بن اسماعيل ابن اللمغاني الحنفي
</w:t>
      </w:r>
    </w:p>
    <w:p>
      <w:pPr/>
      <w:r>
        <w:rPr/>
        <w:t xml:space="preserve">يوسف بن اسماعيل ابن اللمغاني الحنفي يوسف بن إسماعيل بن عبد الرحمن بن عبد السلام بن الحسن، أبو يعقوب اللمغاني الفقيه الحنفي البغدادي، من أهل باب الطاق، من بيت مشهور بالفقه والعدالة. تقدم ذكر أبيه في مكانه. وتفقه على أبيه وعمه محمد حتى برع في المذهب والخلاف. وقرأ كثيرا من مذهب الاعتزال وناظر المتكلمين في إثبات خلق القرآن. وقرأ عليه جماعة من الفضلاء وتخرجوا به. وولي التدريس بجامع السلطان بعد وفاة الأمير السيد أبي الحسن علي العلوي، وناب في التدريس بمشهد الإمام أبي حنيفة؛ وانتهت إليه رئاسة أصحاب الرأي. وكان غزير الفضل، حسن المناظرة، ذا أخلاق لطيفة وكيس وتواضع. سمع شيئا من الحديث في صباه من أبي عبد الله الحسين بن الحسن المقدسي إمام مشهد أبي حنيفة، وأبي المعالي المبارك بن المبارك البرار، وغيرهما. قال ابن النجار: كتبنا عنه وكان صدوقا. ولد سنة ثمان عشرة وخمس مائة، ومات سنة ست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2026-06-21T17:26:56+03:00</dcterms:created>
  <dcterms:modified xsi:type="dcterms:W3CDTF">2026-06-21T17:26:56+03:00</dcterms:modified>
</cp:coreProperties>
</file>

<file path=docProps/custom.xml><?xml version="1.0" encoding="utf-8"?>
<Properties xmlns="http://schemas.openxmlformats.org/officeDocument/2006/custom-properties" xmlns:vt="http://schemas.openxmlformats.org/officeDocument/2006/docPropsVTypes"/>
</file>