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المسند ابن غالية
</w:t>
      </w:r>
    </w:p>
    <w:p>
      <w:pPr>
        <w:jc w:val="start"/>
        <w:bidi/>
      </w:pPr>
      <w:r>
        <w:rPr>
          <w:rFonts w:ascii="arial" w:hAnsi="arial" w:eastAsia="arial" w:cs="arial"/>
          <w:sz w:val="28"/>
          <w:szCs w:val="28"/>
          <w:b w:val="1"/>
          <w:bCs w:val="1"/>
          <w:rtl/>
        </w:rPr>
        <w:t xml:space="preserve">يوسف المسند ابن غالية
</w:t>
      </w:r>
    </w:p>
    <w:p>
      <w:pPr/>
      <w:r>
        <w:rPr/>
        <w:t xml:space="preserve">يوسف المسند ابن غالية يوسف بن أحمد بن أبي بكر بن علي بن إسماعيل بن عمر بن عبد المجيد، المسند المعمر بقية الرواة، أبو علي الغسولي المعروف بابن غالية، ولد سنة اثنتي عشرة وست مائة بقاسيون، وتوفي رحمه الله تعالى، سنة سبع مائة.</w:t>
      </w:r>
    </w:p>
    <w:p/>
    <w:p>
      <w:pPr/>
      <w:r>
        <w:rPr/>
        <w:t xml:space="preserve">وسمع من موسى بن عبد القادر، والشيخ الموفق. وتفرد في وقته وسمع منه خلق، وسمع منه الشيخ شمس الدين، وكان شيخا ساكنا فقيرا متعففا؛ بدت منه هنات في وسط عمره، ثم إنه كبر وصلح أمره، وكان حجارا ثم عجز ولزم بيته. وسمع منه البرزالي والمزي، والمقاتلي، وابن النابلسي، والمحب، والصدر أبو بكر ابن خطيب حماه، والشهاب ابن عديسة، والشيخ نجم الدين القحفازي، وخلق. وجبي له الكفن لما توفي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2026-06-21T17:19:59+03:00</dcterms:created>
  <dcterms:modified xsi:type="dcterms:W3CDTF">2026-06-21T17:19:59+03:00</dcterms:modified>
</cp:coreProperties>
</file>

<file path=docProps/custom.xml><?xml version="1.0" encoding="utf-8"?>
<Properties xmlns="http://schemas.openxmlformats.org/officeDocument/2006/custom-properties" xmlns:vt="http://schemas.openxmlformats.org/officeDocument/2006/docPropsVTypes"/>
</file>