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يوسف الحنبلي الغوري
</w:t>
      </w:r>
    </w:p>
    <w:p>
      <w:pPr>
        <w:jc w:val="start"/>
        <w:bidi/>
      </w:pPr>
      <w:r>
        <w:rPr>
          <w:rFonts w:ascii="arial" w:hAnsi="arial" w:eastAsia="arial" w:cs="arial"/>
          <w:sz w:val="28"/>
          <w:szCs w:val="28"/>
          <w:b w:val="1"/>
          <w:bCs w:val="1"/>
          <w:rtl/>
        </w:rPr>
        <w:t xml:space="preserve">يوسف الحنبلي الغوري
</w:t>
      </w:r>
    </w:p>
    <w:p>
      <w:pPr/>
      <w:r>
        <w:rPr/>
        <w:t xml:space="preserve">يوسف الحنبلي الغوري يوسف بن أحمد بن صالح الغوري، أبو القاسم المقرئ البغدادي.</w:t>
      </w:r>
    </w:p>
    <w:p/>
    <w:p>
      <w:pPr/>
      <w:r>
        <w:rPr/>
        <w:t xml:space="preserve">قرأ القرآن على أبي الحسن علي بن أحمد بن عمر بن الحمامي. وسمع منه ومن أبي الفتح هلال بن محمد بن جعفر الحفار، وأقرأ القرآن وحدث باليسير. وتوفي سنة سبع وستين وأربع مائة. وكان حنبليا؛ وحملوه لما مات في تابوت لئلا يمزق ما عليه من كثرة اللامسين له، ودفن بجانب قبر الإمام أحمد وكانت جنازته عظيمة.</w:t>
      </w:r>
    </w:p>
    <w:p>
      <w:pPr>
        <w:jc w:val="start"/>
        <w:bidi/>
      </w:pPr>
      <w:r>
        <w:rPr>
          <w:sz w:val="24"/>
          <w:szCs w:val="24"/>
          <w:b w:val="1"/>
          <w:bCs w:val="1"/>
          <w:rtl/>
        </w:rPr>
        <w:t xml:space="preserve">
الوافي بالوفيات،(دار فرانز شتاينر، فيسبادن، ألمانيا / دار إحياء التراث - بيروت،2000،ط 1،ج 29،ص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2026-06-21T22:08:32+03:00</dcterms:created>
  <dcterms:modified xsi:type="dcterms:W3CDTF">2026-06-21T22:08:32+03:00</dcterms:modified>
</cp:coreProperties>
</file>

<file path=docProps/custom.xml><?xml version="1.0" encoding="utf-8"?>
<Properties xmlns="http://schemas.openxmlformats.org/officeDocument/2006/custom-properties" xmlns:vt="http://schemas.openxmlformats.org/officeDocument/2006/docPropsVTypes"/>
</file>