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النجار المقرئ
</w:t>
      </w:r>
    </w:p>
    <w:p>
      <w:pPr>
        <w:jc w:val="start"/>
        <w:bidi/>
      </w:pPr>
      <w:r>
        <w:rPr>
          <w:rFonts w:ascii="arial" w:hAnsi="arial" w:eastAsia="arial" w:cs="arial"/>
          <w:sz w:val="28"/>
          <w:szCs w:val="28"/>
          <w:b w:val="1"/>
          <w:bCs w:val="1"/>
          <w:rtl/>
        </w:rPr>
        <w:t xml:space="preserve">يوسف النجار المقرئ
</w:t>
      </w:r>
    </w:p>
    <w:p>
      <w:pPr/>
      <w:r>
        <w:rPr/>
        <w:t xml:space="preserve">يوسف النجار المقرئ يوسف بن إبراهيم بن صابر بن نائل بن محمد الربعي، أبو محمد النجار المقرئ البغدادي. حفظ القرآن وتفقه على مذهب الإمام أحمد، وانقطع في بيته يقرئ الصبيان ويكتب المصاحف. وتوفي سنة أربع وعشرين وست مائة بالبيمارستان العضدي وقد بلغ الستين أو جاوزها.</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2026-06-21T22:07:31+03:00</dcterms:created>
  <dcterms:modified xsi:type="dcterms:W3CDTF">2026-06-21T22:07:31+03:00</dcterms:modified>
</cp:coreProperties>
</file>

<file path=docProps/custom.xml><?xml version="1.0" encoding="utf-8"?>
<Properties xmlns="http://schemas.openxmlformats.org/officeDocument/2006/custom-properties" xmlns:vt="http://schemas.openxmlformats.org/officeDocument/2006/docPropsVTypes"/>
</file>