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زيتونة
</w:t>
      </w:r>
    </w:p>
    <w:p>
      <w:pPr>
        <w:jc w:val="start"/>
        <w:bidi/>
      </w:pPr>
      <w:r>
        <w:rPr>
          <w:rFonts w:ascii="arial" w:hAnsi="arial" w:eastAsia="arial" w:cs="arial"/>
          <w:sz w:val="28"/>
          <w:szCs w:val="28"/>
          <w:b w:val="1"/>
          <w:bCs w:val="1"/>
          <w:rtl/>
        </w:rPr>
        <w:t xml:space="preserve">محمد زيتونة
</w:t>
      </w:r>
    </w:p>
    <w:p>
      <w:pPr/>
      <w:r>
        <w:rPr/>
        <w:t xml:space="preserve">محمد زيتونة  محمد زيتونة المنستيري، أبو عبد الله: عالم تونس ومفتيها في عصره. ولد بالمنستير، وأصيب بفقد بصره في صغره، وتفقه بالقيروان وتونس. وحج، ومر بمصر. وعاد فاستقر بتونس، وتخرج به كثير من علمائها، وتوفي بها. من كتبه ’’شرح منظومة البيقوني’’ في مصطلح الحديث، و ’’شرح السلم’’ في المنطق، و’’حاشية على تفسير أبي السعود’’ جاوز بها نصفه في 16 جزءا، ورسائل في مباحث متفرقة. </w:t>
      </w:r>
    </w:p>
    <w:p>
      <w:pPr>
        <w:jc w:val="start"/>
        <w:bidi/>
      </w:pPr>
      <w:r>
        <w:rPr>
          <w:sz w:val="24"/>
          <w:szCs w:val="24"/>
          <w:b w:val="1"/>
          <w:bCs w:val="1"/>
          <w:rtl/>
        </w:rPr>
        <w:t xml:space="preserve">
الأعلام،(دار العلم للملايين - بيروت،2002،ط 15،ج 6،ص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2026-06-20T09:32:24+03:00</dcterms:created>
  <dcterms:modified xsi:type="dcterms:W3CDTF">2026-06-20T09:32:24+03:00</dcterms:modified>
</cp:coreProperties>
</file>

<file path=docProps/custom.xml><?xml version="1.0" encoding="utf-8"?>
<Properties xmlns="http://schemas.openxmlformats.org/officeDocument/2006/custom-properties" xmlns:vt="http://schemas.openxmlformats.org/officeDocument/2006/docPropsVTypes"/>
</file>