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وثاب صاحب مصياف
</w:t>
      </w:r>
    </w:p>
    <w:p>
      <w:pPr>
        <w:jc w:val="start"/>
        <w:bidi/>
      </w:pPr>
      <w:r>
        <w:rPr>
          <w:rFonts w:ascii="arial" w:hAnsi="arial" w:eastAsia="arial" w:cs="arial"/>
          <w:sz w:val="28"/>
          <w:szCs w:val="28"/>
          <w:b w:val="1"/>
          <w:bCs w:val="1"/>
          <w:rtl/>
        </w:rPr>
        <w:t xml:space="preserve">وثاب صاحب مصياف
</w:t>
      </w:r>
    </w:p>
    <w:p>
      <w:pPr/>
      <w:r>
        <w:rPr/>
        <w:t xml:space="preserve">وثاب صاحب مصياف وثاب بن محمود بن نصر بن صالح بن مرداس أبو الدوام، أحد أمراء بني كلاب، كان صاحب حصن مصياف، ورأيته بخط الحافظ اليغموري مصياث بالثاء المثلثة والظاهر أنه بالفاء، فلما مات وثاب المذكور سنة خمس وتسعين وأربعمائة بمصياف فصده المزين فاسودت يده ومات، وخلفه ولده ناصر الدين سابق باعها لمعز الدين أبي العساكر سلطان بن منقذ في سنة إحدى وعشرين وخمسمائة وتسلمه منه وجعل فيه الحاجب سنقر، فقتله الباطنية في الحصن وملكوه سنة خمس وثلاثين وخمسمائة، وكان الأمير وثاب داهية من دواهي العرب.</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2026-06-08T06:38:37+03:00</dcterms:created>
  <dcterms:modified xsi:type="dcterms:W3CDTF">2026-06-08T06:38:37+03:00</dcterms:modified>
</cp:coreProperties>
</file>

<file path=docProps/custom.xml><?xml version="1.0" encoding="utf-8"?>
<Properties xmlns="http://schemas.openxmlformats.org/officeDocument/2006/custom-properties" xmlns:vt="http://schemas.openxmlformats.org/officeDocument/2006/docPropsVTypes"/>
</file>