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المغنية
</w:t>
      </w:r>
    </w:p>
    <w:p>
      <w:pPr/>
      <w:r>
        <w:rPr/>
        <w:t xml:space="preserve">المغنية أم كلثوم المغنية، قال الباخرزي في الدمية: حدثني الشريف أبو طالب محمد بن عبد الله الأنصاري، قال: جمعني وإياها الطريق وهي وافدة على دغفل، فاستنشدتها فأنشدت قصيدة منها:</w:t>
      </w:r>
    </w:p>
    <w:p/>
    <w:p>
      <w:pPr>
        <w:jc w:val="center"/>
      </w:pPr>
      <w:r>
        <w:rPr>
          <w:color w:val="ff0000"/>
        </w:rPr>
        <w:t xml:space="preserve">كأن الرياح الهوج غادرن فوقها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البارح الصيفي بردا مسهما</w:t>
      </w:r>
    </w:p>
    <w:p/>
    <w:p>
      <w:pPr/>
      <w:r>
        <w:rPr/>
        <w:t xml:space="preserve">وورد في هذه القصيدة بيت مرفوع وهو:</w:t>
      </w:r>
    </w:p>
    <w:p/>
    <w:p>
      <w:pPr>
        <w:jc w:val="center"/>
      </w:pPr>
      <w:r>
        <w:rPr>
          <w:color w:val="ff0000"/>
        </w:rPr>
        <w:t xml:space="preserve">وقلت اسلمي من دار حي تميزت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بهم شعب النيات فالقلب مغرما</w:t>
      </w:r>
    </w:p>
    <w:p/>
    <w:p>
      <w:pPr/>
      <w:r>
        <w:rPr/>
        <w:t xml:space="preserve">فقلت لها: لحنت، فقالت أولحن هو؟ قلت: نعم، قالت: أصلحه بيض الله وجهك.</w:t>
      </w:r>
    </w:p>
    <w:p/>
    <w:p>
      <w:pPr/>
      <w:r>
        <w:rPr/>
        <w:t xml:space="preserve">ثم أعملت الفكر فأشارت إلي: صه صه وأنشدت: نهبا مقسما، قال: فتعجبت من سرعة إجابة خاطرها.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2026-07-27T17:44:12+03:00</dcterms:created>
  <dcterms:modified xsi:type="dcterms:W3CDTF">2026-07-27T17:44:12+03:00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