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الحيمي
</w:t>
      </w:r>
    </w:p>
    <w:p>
      <w:pPr>
        <w:jc w:val="start"/>
        <w:bidi/>
      </w:pPr>
      <w:r>
        <w:rPr>
          <w:rFonts w:ascii="arial" w:hAnsi="arial" w:eastAsia="arial" w:cs="arial"/>
          <w:sz w:val="28"/>
          <w:szCs w:val="28"/>
          <w:b w:val="1"/>
          <w:bCs w:val="1"/>
          <w:rtl/>
        </w:rPr>
        <w:t xml:space="preserve">الحيمي
</w:t>
      </w:r>
    </w:p>
    <w:p>
      <w:pPr/>
      <w:r>
        <w:rPr/>
        <w:t xml:space="preserve">الحيمي  محمد بن الحسن بن أحمد بن صالح الحيمي الشبامي الكوكباني : أديب من الشعراء، من أهل شبام، في اليمن. كان الحاكم المطلق في ناحية كوكبان ولبث أياما في ذمار ثم رجع إلى شبام فمات بها. له كتاب (عمدة الذخائر في تهذيب الاخلاق والسرائر) و (أنباء الابنا بالطريقة الحسنى) وشرع في مقامات على نسق (المقامات الزمخشرية) وهو والد أحمد ابن محمد (1151) صاحب (طيب السمر) قال ابنه في ترجمته : وقد جمعت من شعره ومكاتباته مجموعا سميته (رعي الاب). </w:t>
      </w:r>
    </w:p>
    <w:p>
      <w:pPr>
        <w:jc w:val="start"/>
        <w:bidi/>
      </w:pPr>
      <w:r>
        <w:rPr>
          <w:sz w:val="24"/>
          <w:szCs w:val="24"/>
          <w:b w:val="1"/>
          <w:bCs w:val="1"/>
          <w:rtl/>
        </w:rPr>
        <w:t xml:space="preserve">
الأعلام،(دار العلم للملايين - بيروت،2002،ط 15،ج 6،ص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2026-05-06T14:20:23+03:00</dcterms:created>
  <dcterms:modified xsi:type="dcterms:W3CDTF">2026-05-06T14:20:23+03:00</dcterms:modified>
</cp:coreProperties>
</file>

<file path=docProps/custom.xml><?xml version="1.0" encoding="utf-8"?>
<Properties xmlns="http://schemas.openxmlformats.org/officeDocument/2006/custom-properties" xmlns:vt="http://schemas.openxmlformats.org/officeDocument/2006/docPropsVTypes"/>
</file>