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الجلال
</w:t>
      </w:r>
    </w:p>
    <w:p>
      <w:pPr>
        <w:jc w:val="start"/>
        <w:bidi/>
      </w:pPr>
      <w:r>
        <w:rPr>
          <w:rFonts w:ascii="arial" w:hAnsi="arial" w:eastAsia="arial" w:cs="arial"/>
          <w:sz w:val="28"/>
          <w:szCs w:val="28"/>
          <w:b w:val="1"/>
          <w:bCs w:val="1"/>
          <w:rtl/>
        </w:rPr>
        <w:t xml:space="preserve">محمد الجلال
</w:t>
      </w:r>
    </w:p>
    <w:p>
      <w:pPr/>
      <w:r>
        <w:rPr/>
        <w:t xml:space="preserve">محمد الجلال  محمد بن الحسن بن أحمد الجلال الحسني اليمني: خطيب، فاضل. ولد في جراف صنعاء، وكان خطيب الامام محمد بن اسماعيل، بها. وجمع من خطبه مجلدا سمي’’المشرب الزلال من خطب السيد محمد الجلال –خ’’ وله ’’تثبيت الأقدام في فتنة أهل الاسلام والنهى عن التوغل في علم الكلام’’ وله نظم.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2026-05-06T14:24:32+03:00</dcterms:created>
  <dcterms:modified xsi:type="dcterms:W3CDTF">2026-05-06T14:24:32+03:00</dcterms:modified>
</cp:coreProperties>
</file>

<file path=docProps/custom.xml><?xml version="1.0" encoding="utf-8"?>
<Properties xmlns="http://schemas.openxmlformats.org/officeDocument/2006/custom-properties" xmlns:vt="http://schemas.openxmlformats.org/officeDocument/2006/docPropsVTypes"/>
</file>