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محمد
</w:t>
      </w:r>
    </w:p>
    <w:p>
      <w:pPr>
        <w:jc w:val="start"/>
        <w:bidi/>
      </w:pPr>
      <w:r>
        <w:rPr>
          <w:rFonts w:ascii="arial" w:hAnsi="arial" w:eastAsia="arial" w:cs="arial"/>
          <w:sz w:val="28"/>
          <w:szCs w:val="28"/>
          <w:b w:val="1"/>
          <w:bCs w:val="1"/>
          <w:rtl/>
        </w:rPr>
        <w:t xml:space="preserve">الإمام محمد
</w:t>
      </w:r>
    </w:p>
    <w:p>
      <w:pPr/>
      <w:r>
        <w:rPr/>
        <w:t xml:space="preserve">الإمام محمد  محمد بن الحسن بن القاسم، أبو يحيى: فقيه أصولي أديب، من أمراء اليمن. ولي صعدة ونواحيها. ثم أتسعت ولايته، فكان يتردد في الاقامة بين ذمار وصنعاء. وصنف كتبا، منها ’’ذوب الذهب بمحاسن من شاهدت بعصري من أهل الأدب –خ’’ و’’سبيل الرشاد إلى معرفة العباد’’ في علم الكلام، و’’شرح مرقاة الوصول إلى علم الأصول ’’. وتوفي بصنعاء. ولم يل الامامة، وهو من بيتها، وكان يلقب بها. </w:t>
      </w:r>
    </w:p>
    <w:p>
      <w:pPr>
        <w:jc w:val="start"/>
        <w:bidi/>
      </w:pPr>
      <w:r>
        <w:rPr>
          <w:sz w:val="24"/>
          <w:szCs w:val="24"/>
          <w:b w:val="1"/>
          <w:bCs w:val="1"/>
          <w:rtl/>
        </w:rPr>
        <w:t xml:space="preserve">
الأعلام،(دار العلم للملايين - بيروت،2002،ط 15،ج 6،ص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2026-05-06T14:08:42+03:00</dcterms:created>
  <dcterms:modified xsi:type="dcterms:W3CDTF">2026-05-06T14:08:42+03:00</dcterms:modified>
</cp:coreProperties>
</file>

<file path=docProps/custom.xml><?xml version="1.0" encoding="utf-8"?>
<Properties xmlns="http://schemas.openxmlformats.org/officeDocument/2006/custom-properties" xmlns:vt="http://schemas.openxmlformats.org/officeDocument/2006/docPropsVTypes"/>
</file>