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الطحان
</w:t>
      </w:r>
    </w:p>
    <w:p>
      <w:pPr>
        <w:jc w:val="start"/>
        <w:bidi/>
      </w:pPr>
      <w:r>
        <w:rPr>
          <w:rFonts w:ascii="arial" w:hAnsi="arial" w:eastAsia="arial" w:cs="arial"/>
          <w:sz w:val="28"/>
          <w:szCs w:val="28"/>
          <w:b w:val="1"/>
          <w:bCs w:val="1"/>
          <w:rtl/>
        </w:rPr>
        <w:t xml:space="preserve">ابن الطحان
</w:t>
      </w:r>
    </w:p>
    <w:p>
      <w:pPr/>
      <w:r>
        <w:rPr/>
        <w:t xml:space="preserve">ابن الطحان محمد بن الحسن، أبو الحسن المعروف بابن الطحان: موسيقي مصري من كبار الملحنين.</w:t>
      </w:r>
    </w:p>
    <w:p/>
    <w:p>
      <w:pPr/>
      <w:r>
        <w:rPr/>
        <w:t xml:space="preserve">كان أكثر التلاحين المصرية في عصره من صنعته. قال أحد مترجميه: شاهدته بمصر عند دخولي إليها في آخر سنة 449 وكان شيخا جميل البزة واللبسة، راكبا حمارا من الحمير المصرية، بسرج محلى ثقيل، وبين يديه مملوك. وكان له تقدم عند الوزير اليازوري (الحسن بن علي 450هـ انظر ترجمته) يعلم جواريه. وصنف كتاب (حاوي الفنون وسلوة المحزون - خ) في طرائق الغناء العلمية والعملية، بدار الكتب المصرية (539 الفنون الجميلة)</w:t>
      </w:r>
    </w:p>
    <w:p>
      <w:pPr>
        <w:jc w:val="start"/>
        <w:bidi/>
      </w:pPr>
      <w:r>
        <w:rPr>
          <w:sz w:val="24"/>
          <w:szCs w:val="24"/>
          <w:b w:val="1"/>
          <w:bCs w:val="1"/>
          <w:rtl/>
        </w:rPr>
        <w:t xml:space="preserve">
الأعلام،(دار العلم للملايين - بيروت،2002،ط 15،ج 6،ص 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2026-05-06T13:29:10+03:00</dcterms:created>
  <dcterms:modified xsi:type="dcterms:W3CDTF">2026-05-06T13:29:10+03:00</dcterms:modified>
</cp:coreProperties>
</file>

<file path=docProps/custom.xml><?xml version="1.0" encoding="utf-8"?>
<Properties xmlns="http://schemas.openxmlformats.org/officeDocument/2006/custom-properties" xmlns:vt="http://schemas.openxmlformats.org/officeDocument/2006/docPropsVTypes"/>
</file>