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الجرباذقاني
</w:t>
      </w:r>
    </w:p>
    <w:p>
      <w:pPr>
        <w:jc w:val="start"/>
        <w:bidi/>
      </w:pPr>
      <w:r>
        <w:rPr>
          <w:rFonts w:ascii="arial" w:hAnsi="arial" w:eastAsia="arial" w:cs="arial"/>
          <w:sz w:val="28"/>
          <w:szCs w:val="28"/>
          <w:b w:val="1"/>
          <w:bCs w:val="1"/>
          <w:rtl/>
        </w:rPr>
        <w:t xml:space="preserve">الجرباذقاني
</w:t>
      </w:r>
    </w:p>
    <w:p>
      <w:pPr/>
      <w:r>
        <w:rPr/>
        <w:t xml:space="preserve">الجرباذقاني محمد بن الحسن بن محمد بن جعفر، أبو عبد الله الجرباذقاني الأسترابادي: لغوي أديب من فقهاء الشافعية. نسبته إلى جرباذقان (بين جرجان وأستراباذ) رحل إلى خراسان والعراق وأصبهان. وتخرج به جماعة من الفقهاء. له كتب، منها كتاب (حرف العين في الضاد والظاء من كتاب الروحة - خ) رأيته في السليمانية (الرقم 5194) وفي نهايته: (هذا الكتاب بخط المصنف) ولم يتسع وقتي لتحقيق ذلك.</w:t>
      </w:r>
    </w:p>
    <w:p/>
    <w:p>
      <w:pPr/>
      <w:r>
        <w:rPr/>
        <w:t xml:space="preserve"> </w:t>
      </w:r>
    </w:p>
    <w:p>
      <w:pPr>
        <w:jc w:val="start"/>
        <w:bidi/>
      </w:pPr>
      <w:r>
        <w:rPr>
          <w:sz w:val="24"/>
          <w:szCs w:val="24"/>
          <w:b w:val="1"/>
          <w:bCs w:val="1"/>
          <w:rtl/>
        </w:rPr>
        <w:t xml:space="preserve">
الأعلام،(دار العلم للملايين - بيروت،2002،ط 15،ج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2026-05-06T13:30:24+03:00</dcterms:created>
  <dcterms:modified xsi:type="dcterms:W3CDTF">2026-05-06T13:30:24+03:00</dcterms:modified>
</cp:coreProperties>
</file>

<file path=docProps/custom.xml><?xml version="1.0" encoding="utf-8"?>
<Properties xmlns="http://schemas.openxmlformats.org/officeDocument/2006/custom-properties" xmlns:vt="http://schemas.openxmlformats.org/officeDocument/2006/docPropsVTypes"/>
</file>