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الحامدي
</w:t>
      </w:r>
    </w:p>
    <w:p>
      <w:pPr>
        <w:jc w:val="start"/>
        <w:bidi/>
      </w:pPr>
      <w:r>
        <w:rPr>
          <w:rFonts w:ascii="arial" w:hAnsi="arial" w:eastAsia="arial" w:cs="arial"/>
          <w:sz w:val="28"/>
          <w:szCs w:val="28"/>
          <w:b w:val="1"/>
          <w:bCs w:val="1"/>
          <w:rtl/>
        </w:rPr>
        <w:t xml:space="preserve">الحامدي
</w:t>
      </w:r>
    </w:p>
    <w:p>
      <w:pPr/>
      <w:r>
        <w:rPr/>
        <w:t xml:space="preserve">الحامدي  محمد بن حامد، أبو عبد الله الحامدي : شاعر من أعيان خوارزم. ولي ديوان الرسائل لبعض الحجاب واتصل بالصاحب ابن عباد فقلده بريد (قم) ولما مات الصاحب استدعاه سلطان خوارزم إليه وجعله سفيرا في المهمات، فأنفذه مرة في رسالة إلى السلطان يمين الدولة ببلخ، حيث لقي أبا الفتح البستي الكاتب، وتصادقا. ولما استولى مأمون بن مامون (المتوفى سنة 407) على خوارزم، وجه الحامدي إلى جرجان في رسالة لقابوس بن وشمكير، فأعجب هذا بأدبه ورغب في اجتذابه إليه والاحتفاظ به عنده. فاعتذر وعاد إلى السلطان، فقدمه وأكرمه وولاه خزانة كتبه. وللبستي أبيات فيه لطيفة أولها : (محمد بن حامد إذا ارتجل الخ). </w:t>
      </w:r>
    </w:p>
    <w:p>
      <w:pPr>
        <w:jc w:val="start"/>
        <w:bidi/>
      </w:pPr>
      <w:r>
        <w:rPr>
          <w:sz w:val="24"/>
          <w:szCs w:val="24"/>
          <w:b w:val="1"/>
          <w:bCs w:val="1"/>
          <w:rtl/>
        </w:rPr>
        <w:t xml:space="preserve">
الأعلام،(دار العلم للملايين - بيروت،2002،ط 15،ج 6،ص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2026-05-05T01:35:17+03:00</dcterms:created>
  <dcterms:modified xsi:type="dcterms:W3CDTF">2026-05-05T01:35:17+03:00</dcterms:modified>
</cp:coreProperties>
</file>

<file path=docProps/custom.xml><?xml version="1.0" encoding="utf-8"?>
<Properties xmlns="http://schemas.openxmlformats.org/officeDocument/2006/custom-properties" xmlns:vt="http://schemas.openxmlformats.org/officeDocument/2006/docPropsVTypes"/>
</file>