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القلاووني
</w:t>
      </w:r>
    </w:p>
    <w:p>
      <w:pPr>
        <w:jc w:val="start"/>
        <w:bidi/>
      </w:pPr>
      <w:r>
        <w:rPr>
          <w:rFonts w:ascii="arial" w:hAnsi="arial" w:eastAsia="arial" w:cs="arial"/>
          <w:sz w:val="28"/>
          <w:szCs w:val="28"/>
          <w:b w:val="1"/>
          <w:bCs w:val="1"/>
          <w:rtl/>
        </w:rPr>
        <w:t xml:space="preserve">المنصور القلاووني
</w:t>
      </w:r>
    </w:p>
    <w:p>
      <w:pPr/>
      <w:r>
        <w:rPr/>
        <w:t xml:space="preserve">المنصور القلاووني  محمد (المنصور) ابن حاجي (المظفر) ابن الملك الناصر محمد بن قلاوون: من ملوك الدولة القلاوونية بمصر والشام. بويع بالسلطنة، بالقاهرة، بعد مقتل عمه (الناصر الثالث) حسن بن محمد، سنة 762 هـ. وضربت السكة باسمه، وقام بتدبير ملكه أتابك عساكره الأمير يلبغا (قاتل عمه) فدامت سلطنته سنتين وأربعة أشهر. وتغير عليه يلبغا فخلعه وأدخله في دور الحرم بقلعة القاهرة (سنة 764) فشغل باللهو والسكر والسماع إلى أن مات.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2026-05-05T01:42:13+03:00</dcterms:created>
  <dcterms:modified xsi:type="dcterms:W3CDTF">2026-05-05T01:42:13+03:00</dcterms:modified>
</cp:coreProperties>
</file>

<file path=docProps/custom.xml><?xml version="1.0" encoding="utf-8"?>
<Properties xmlns="http://schemas.openxmlformats.org/officeDocument/2006/custom-properties" xmlns:vt="http://schemas.openxmlformats.org/officeDocument/2006/docPropsVTypes"/>
</file>