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بشير الغزي
</w:t>
      </w:r>
    </w:p>
    <w:p>
      <w:pPr>
        <w:jc w:val="start"/>
        <w:bidi/>
      </w:pPr>
      <w:r>
        <w:rPr>
          <w:rFonts w:ascii="arial" w:hAnsi="arial" w:eastAsia="arial" w:cs="arial"/>
          <w:sz w:val="28"/>
          <w:szCs w:val="28"/>
          <w:b w:val="1"/>
          <w:bCs w:val="1"/>
          <w:rtl/>
        </w:rPr>
        <w:t xml:space="preserve">الشيخ بشير الغزي
</w:t>
      </w:r>
    </w:p>
    <w:p>
      <w:pPr/>
      <w:r>
        <w:rPr/>
        <w:t xml:space="preserve">الشيخ بشير الغزي  محمد بشير بن محمد هلال بن محمد الالاجاتي، المعروف بالغزي: قاض، من اعيان حلب. مولده ووفاته فيها. كان نائبا عنها في مجلس النواب العثماني ايام الترك، ثم قاضيا لها بعد خروجهم من بلاد الشام وكان اية في الحفظ: من محفوظاته امالي القالي، والكامل للمبرد. ابتدأ حياته بالتدريس في مساجد حلب. ولم يكن من ’’ آل الغزي’’ وانما رباه اخوه لامه الشيخ كامل الغزي، فنسب اليهم. له رسالة في ’’ التجويد-ط’’ و’’ نظم الشمسية-ط’’ في المنطق، و’’ تفسير –خ’’ مختصر، قال من رآه: يمكن طبعه على هامش المصحف، و’’ حدائق الرند في ترجمة ترجيع بند –ط’’ منظومة في الحكم والامثال، ترجمها عن التركية. </w:t>
      </w:r>
    </w:p>
    <w:p>
      <w:pPr>
        <w:jc w:val="start"/>
        <w:bidi/>
      </w:pPr>
      <w:r>
        <w:rPr>
          <w:sz w:val="24"/>
          <w:szCs w:val="24"/>
          <w:b w:val="1"/>
          <w:bCs w:val="1"/>
          <w:rtl/>
        </w:rPr>
        <w:t xml:space="preserve">
الأعلام،(دار العلم للملايين - بيروت،2002،ط 15،ج 6،ص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2026-05-06T13:15:19+03:00</dcterms:created>
  <dcterms:modified xsi:type="dcterms:W3CDTF">2026-05-06T13:15:19+03:00</dcterms:modified>
</cp:coreProperties>
</file>

<file path=docProps/custom.xml><?xml version="1.0" encoding="utf-8"?>
<Properties xmlns="http://schemas.openxmlformats.org/officeDocument/2006/custom-properties" xmlns:vt="http://schemas.openxmlformats.org/officeDocument/2006/docPropsVTypes"/>
</file>