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البهبهاني
</w:t>
      </w:r>
    </w:p>
    <w:p>
      <w:pPr/>
      <w:r>
        <w:rPr/>
        <w:t xml:space="preserve">البهبهاني  محمد باقر بن محمد أكمل البهبهاني: فاضل امامي. ولد في اصفهان. واقام مدة في بهبهان. واستقر في كربلاء وتوفي بالحائر. له (تعليقات على منهج المقال –ط) بهامشه، و (حاشية على مفاتيح الاحكام –خ) فقه، و (فوائد عتيقة –خ) و (فوائد جديدة –خ) وحواش ورسائل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الآقا البهبهاني
</w:t>
      </w:r>
    </w:p>
    <w:p>
      <w:pPr/>
      <w:r>
        <w:rPr/>
        <w:t xml:space="preserve">الآقا البهبهاني اسمه محمد باقر بن محمد أكمل.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الآقا البهبهاني
</w:t>
      </w:r>
    </w:p>
    <w:p>
      <w:pPr/>
      <w:r>
        <w:rPr/>
        <w:t xml:space="preserve">الآقا البهبهاني اسمه محمد باقر بن محمد أكمل.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2026-05-04T19:27:31+03:00</dcterms:created>
  <dcterms:modified xsi:type="dcterms:W3CDTF">2026-05-04T19:27:31+03:00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