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 أعيان
</w:t>
      </w:r>
    </w:p>
    <w:p>
      <w:pPr>
        <w:jc w:val="start"/>
        <w:bidi/>
      </w:pPr>
      <w:r>
        <w:rPr>
          <w:rFonts w:ascii="arial" w:hAnsi="arial" w:eastAsia="arial" w:cs="arial"/>
          <w:sz w:val="28"/>
          <w:szCs w:val="28"/>
          <w:b w:val="1"/>
          <w:bCs w:val="1"/>
          <w:rtl/>
        </w:rPr>
        <w:t xml:space="preserve">باش أعيان
</w:t>
      </w:r>
    </w:p>
    <w:p>
      <w:pPr/>
      <w:r>
        <w:rPr/>
        <w:t xml:space="preserve">باش أعيان  محمد أمين بن عبد الله، ضياء الدين ابن عبد الواحد باش أعيان: وزير عراقي. ولد وتعلم في البصرة، وتدرج في الوظائف. وأبعده الانكليز إلى الكويت في ابتداء الحرب العامة الاولى. وأصدر جريدة (التهذيب) سنة 1327 - 28 بالبصرة. وعين رئيسا لمحكمة الاستئناف (1328 ه‍)، وانتخب نائبا عن لواء البصرة (1343) وعين وزيرا للاوقاف (1345) وتوفي ببغداد. وفي أيام وزارته أنشئت مكتبة الاوقاف العامة ببغداد. له (جولة في ربوع الهند - ط) نشر تباعا في جريدة البصرة، و (مرشد الانباء لحكام البصرة الفيحاء) و (أسماء مشاهير البصرة - خ) ألفه في الكويت، سنة 1333 منه نسخة في الاوقاف (100 ورقة) و (رواية الشاب البصري والشيخ العصري - ط) قصة.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2026-05-04T18:19:42+03:00</dcterms:created>
  <dcterms:modified xsi:type="dcterms:W3CDTF">2026-05-04T18:19:42+03:00</dcterms:modified>
</cp:coreProperties>
</file>

<file path=docProps/custom.xml><?xml version="1.0" encoding="utf-8"?>
<Properties xmlns="http://schemas.openxmlformats.org/officeDocument/2006/custom-properties" xmlns:vt="http://schemas.openxmlformats.org/officeDocument/2006/docPropsVTypes"/>
</file>