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غرس الدين الخليلي
</w:t>
      </w:r>
    </w:p>
    <w:p>
      <w:pPr>
        <w:jc w:val="start"/>
        <w:bidi/>
      </w:pPr>
      <w:r>
        <w:rPr>
          <w:rFonts w:ascii="arial" w:hAnsi="arial" w:eastAsia="arial" w:cs="arial"/>
          <w:sz w:val="28"/>
          <w:szCs w:val="28"/>
          <w:b w:val="1"/>
          <w:bCs w:val="1"/>
          <w:rtl/>
        </w:rPr>
        <w:t xml:space="preserve">غرس الدين الخليلي
</w:t>
      </w:r>
    </w:p>
    <w:p>
      <w:pPr/>
      <w:r>
        <w:rPr/>
        <w:t xml:space="preserve">غرس الدين الخليلي  محمد (غرس الدين) بن أحمد الانصاري الخليلي ثم المدني: فاضل له شعر وعلم بالادب والحديث، اصله من الخليل (بفلسطين) تنقل بين القدس ومصر وبلاد الروم، وسكن (المدينة) وولى فيها الخطابة والامامة والتدريس بالمسجد النبوي، وتوفي بها. من كتبه (كشف الالتباس في الاحاديث الدائرة على السن الناس –خ) رجز، و (تسهيل السبيل إلى كشف الالتباس –خ) نثر فيه احاديث الكشف، و (اتحاف أهل الكياسة في علم الفراسة) نظم و (نظم الكنز) و (نظم مراتب الوجود للجيلي). </w:t>
      </w:r>
    </w:p>
    <w:p>
      <w:pPr>
        <w:jc w:val="start"/>
        <w:bidi/>
      </w:pPr>
      <w:r>
        <w:rPr>
          <w:sz w:val="24"/>
          <w:szCs w:val="24"/>
          <w:b w:val="1"/>
          <w:bCs w:val="1"/>
          <w:rtl/>
        </w:rPr>
        <w:t xml:space="preserve">
الأعلام،(دار العلم للملايين - بيروت،2002،ط 15،ج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2026-05-04T11:41:31+03:00</dcterms:created>
  <dcterms:modified xsi:type="dcterms:W3CDTF">2026-05-04T11:41:31+03:00</dcterms:modified>
</cp:coreProperties>
</file>

<file path=docProps/custom.xml><?xml version="1.0" encoding="utf-8"?>
<Properties xmlns="http://schemas.openxmlformats.org/officeDocument/2006/custom-properties" xmlns:vt="http://schemas.openxmlformats.org/officeDocument/2006/docPropsVTypes"/>
</file>