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الرملي
</w:t>
      </w:r>
    </w:p>
    <w:p>
      <w:pPr>
        <w:jc w:val="start"/>
        <w:bidi/>
      </w:pPr>
      <w:r>
        <w:rPr>
          <w:rFonts w:ascii="arial" w:hAnsi="arial" w:eastAsia="arial" w:cs="arial"/>
          <w:sz w:val="28"/>
          <w:szCs w:val="28"/>
          <w:b w:val="1"/>
          <w:bCs w:val="1"/>
          <w:rtl/>
        </w:rPr>
        <w:t xml:space="preserve">شمس الدين الرملي
</w:t>
      </w:r>
    </w:p>
    <w:p>
      <w:pPr/>
      <w:r>
        <w:rPr/>
        <w:t xml:space="preserve">شمس الدين الرملي  محمد بن أحمد بن حمزة، شمس الدين الرملي: فقيه الديار المصرية في عصره، ومرجعها في الفتوى. يقال له: الشافعي الصغير، نسبته إلى الرملة (من قرى المنوفية بمصر) ومولده ووفاته في القاهرة ولى افتاء الشافعية وجمع فتاوي ابيه. وصنف شروحا وحواشي كثيرة، منها (عمدة الرابح –خ) شرح على هدية الناصح في فقه الشافعية، و (غاية البيان في شرح زبد ابن رسلان –ط) و (غاية المرام-خ) في شرح شروط الامامة لوادله و (نهاية المحتاج إلى شرح المنهاج –ط) فقه، وله (فتاوي شمس الدين الرملي –ط). </w:t>
      </w:r>
    </w:p>
    <w:p>
      <w:pPr>
        <w:jc w:val="start"/>
        <w:bidi/>
      </w:pPr>
      <w:r>
        <w:rPr>
          <w:sz w:val="24"/>
          <w:szCs w:val="24"/>
          <w:b w:val="1"/>
          <w:bCs w:val="1"/>
          <w:rtl/>
        </w:rPr>
        <w:t xml:space="preserve">
الأعلام،(دار العلم للملايين - بيروت،2002،ط 15،ج 6،ص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2026-05-04T15:29:38+03:00</dcterms:created>
  <dcterms:modified xsi:type="dcterms:W3CDTF">2026-05-04T15:29:38+03:00</dcterms:modified>
</cp:coreProperties>
</file>

<file path=docProps/custom.xml><?xml version="1.0" encoding="utf-8"?>
<Properties xmlns="http://schemas.openxmlformats.org/officeDocument/2006/custom-properties" xmlns:vt="http://schemas.openxmlformats.org/officeDocument/2006/docPropsVTypes"/>
</file>