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مظفر الدين وجه السبع
</w:t>
      </w:r>
    </w:p>
    <w:p>
      <w:pPr>
        <w:jc w:val="start"/>
        <w:bidi/>
      </w:pPr>
      <w:r>
        <w:rPr>
          <w:rFonts w:ascii="arial" w:hAnsi="arial" w:eastAsia="arial" w:cs="arial"/>
          <w:sz w:val="28"/>
          <w:szCs w:val="28"/>
          <w:b w:val="1"/>
          <w:bCs w:val="1"/>
          <w:rtl/>
        </w:rPr>
        <w:t xml:space="preserve">مظفر الدين وجه السبع
</w:t>
      </w:r>
    </w:p>
    <w:p>
      <w:pPr/>
      <w:r>
        <w:rPr/>
        <w:t xml:space="preserve">مظفر الدين وجه السبع سنقر الأمير مظفر الدين وجه السبع صاحب بلاد خوزستان. وكان أحد الشجعان المذكورين، حج بالناس سنة اثنتين وست مائة. وفارق الركب وقفز إلى العادل صاحب الشأم لمنافرة جرت بينه وبين الخادم الذي على سبيل الوزير ناصر بن مهدي، وتلقاه العادل وأكرمه وأقام عنده ست سنين وكان من كبار الدولة. فلما عزل الوزير عاد إلى العراق وبقي هناك. وتوفي سنة خمس وعشرين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2026-06-22T01:15:42+03:00</dcterms:created>
  <dcterms:modified xsi:type="dcterms:W3CDTF">2026-06-22T01:15:42+03:00</dcterms:modified>
</cp:coreProperties>
</file>

<file path=docProps/custom.xml><?xml version="1.0" encoding="utf-8"?>
<Properties xmlns="http://schemas.openxmlformats.org/officeDocument/2006/custom-properties" xmlns:vt="http://schemas.openxmlformats.org/officeDocument/2006/docPropsVTypes"/>
</file>