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صاحب المصلى
</w:t>
      </w:r>
    </w:p>
    <w:p>
      <w:pPr>
        <w:jc w:val="start"/>
        <w:bidi/>
      </w:pPr>
      <w:r>
        <w:rPr>
          <w:rFonts w:ascii="arial" w:hAnsi="arial" w:eastAsia="arial" w:cs="arial"/>
          <w:sz w:val="28"/>
          <w:szCs w:val="28"/>
          <w:b w:val="1"/>
          <w:bCs w:val="1"/>
          <w:rtl/>
        </w:rPr>
        <w:t xml:space="preserve">صاحب المصلى
</w:t>
      </w:r>
    </w:p>
    <w:p>
      <w:pPr/>
      <w:r>
        <w:rPr/>
        <w:t xml:space="preserve">صاحب المصلى سليمان، صاحب المصلى. كان من أولاد الملوك بخراسان، صحب أبا مسلم الخرساني، فاستخصه أبو جعفر المنصور. فلما جرت قصة عبد الله بن علي فرق أبو جعفر خزائن عبد الله على سليمان وغيره من القواد، وأخذ كل واحد شيئا جليلا، فاختار سليمان حصيرا للصلاة من عمل مصر ذكر أنه كان في خزائن بني أمية وأنهم ذكروا أن النبي صلى الله عليه وسلم صلى عليه. فقال له المنصور: إن هذا لا يصلح أن يكون إلا للخلفاء في خزائنهم، فقال: يا أمير المؤمنين، قد حكمت كل أحد في الخزائن، فأخذ كل أحد ما أراد، وما مقصودي إلا البركة! فقال: خذه على شرط وهو أن تحمله في الأعياد والجمع فتفرشه حتى أصلي عليه! فقال: نعم، وبقي عنده وعند ذريته يتوارثونها.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2026-06-22T00:40:57+03:00</dcterms:created>
  <dcterms:modified xsi:type="dcterms:W3CDTF">2026-06-22T00:40:57+03:00</dcterms:modified>
</cp:coreProperties>
</file>

<file path=docProps/custom.xml><?xml version="1.0" encoding="utf-8"?>
<Properties xmlns="http://schemas.openxmlformats.org/officeDocument/2006/custom-properties" xmlns:vt="http://schemas.openxmlformats.org/officeDocument/2006/docPropsVTypes"/>
</file>