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الضياء
</w:t>
      </w:r>
    </w:p>
    <w:p>
      <w:pPr>
        <w:jc w:val="start"/>
        <w:bidi/>
      </w:pPr>
      <w:r>
        <w:rPr>
          <w:rFonts w:ascii="arial" w:hAnsi="arial" w:eastAsia="arial" w:cs="arial"/>
          <w:sz w:val="28"/>
          <w:szCs w:val="28"/>
          <w:b w:val="1"/>
          <w:bCs w:val="1"/>
          <w:rtl/>
        </w:rPr>
        <w:t xml:space="preserve">ابن الضياء
</w:t>
      </w:r>
    </w:p>
    <w:p>
      <w:pPr/>
      <w:r>
        <w:rPr/>
        <w:t xml:space="preserve">ابن الضياء  محمد بن أحمد بن الضياء محمد القريشي العمري المكي، بهاء الدين ابو البقاء، المعروف بابن الضياء:فقيه حنفي:صاغاني الاصل ولد وتوفي بمكة وولى قضاءها من كتبه ’’شرح مجمع البحرين-خ’’ في الفقه، ابع مجلدات، و’’ البحر العميق-خ’’ مجلدان كبيران، في مناسك الحج وفي الربع الاخير منه بعض حوادث مكة والكعبة والمسجد الحرام، و’’تنزيه المسجد الحرام عن بدع جهلة العوام ’’ مجلد، و’’ النكت على الصحيح ’’ في الحديث، و’’تاريخ مكة المشرفة والمسجد الحرام والمدينة الشريفة والقبر الشريف –خ’’. </w:t>
      </w:r>
    </w:p>
    <w:p>
      <w:pPr>
        <w:jc w:val="start"/>
        <w:bidi/>
      </w:pPr>
      <w:r>
        <w:rPr>
          <w:sz w:val="24"/>
          <w:szCs w:val="24"/>
          <w:b w:val="1"/>
          <w:bCs w:val="1"/>
          <w:rtl/>
        </w:rPr>
        <w:t xml:space="preserve">
الأعلام،(دار العلم للملايين - بيروت،2002،ط 15،ج 5،ص 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الضياء محمد بن محمد بن عمر بن سعيد بن محمد
</w:t>
      </w:r>
    </w:p>
    <w:p>
      <w:pPr/>
      <w:r>
        <w:rPr/>
        <w:t xml:space="preserve">محمد بن أحمد بن الضياء محمد بن العز محمد بن عمر بن سعيد ابن محمد بن محمد بن عمر بن يوسف بن علي بن إسماعيل الإمام العالم القاضي بهاء الدين أبو البقاء الحنفي العمري المكي. ولد سنة تسع وثمانين وسبعمائة.</w:t>
      </w:r>
    </w:p>
    <w:p/>
    <w:p>
      <w:pPr/>
      <w:r>
        <w:rPr/>
        <w:t xml:space="preserve">وتفقه بوالده، وقارئ الهداية، وأخذ عن العز بن جماعة، والشمس المعيد، وجماعة، إلى أن ضرب في العلوم بنصيب وافر، وانفرد بالشيخوخة في مذهبه في بلاد الحجاز؛ وولي قضاء مكة.</w:t>
      </w:r>
    </w:p>
    <w:p/>
    <w:p>
      <w:pPr/>
      <w:r>
        <w:rPr/>
        <w:t xml:space="preserve">وصنف كتبا منها «تفسير القرآن» و «شرح البزدوي» و «شرح مقدمة الغزنوي»، و «الشافي في اختيار الكافي»، ومناسك الحج في ثلاث مجلدات، و «تنزيه المسجد الحرام عن بدع جهلة العوام». مات في ذي القعدة سنة أربع وخمسين وثمانمائة.</w:t>
      </w:r>
    </w:p>
    <w:p/>
    <w:p>
      <w:pPr/>
      <w:r>
        <w:rPr/>
        <w:t xml:space="preserve">ذكره شيخنا في كتابه «العقيان في أعيان الأعيان».</w:t>
      </w:r>
    </w:p>
    <w:p>
      <w:pPr>
        <w:jc w:val="start"/>
        <w:bidi/>
      </w:pPr>
      <w:r>
        <w:rPr>
          <w:sz w:val="24"/>
          <w:szCs w:val="24"/>
          <w:b w:val="1"/>
          <w:bCs w:val="1"/>
          <w:rtl/>
        </w:rPr>
        <w:t xml:space="preserve">
طبقات المفسرين للداوودي،(دار الكتب العلمية - بيروت،0000،ط 0،ج 2،ص 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2026-05-04T10:33:31+03:00</dcterms:created>
  <dcterms:modified xsi:type="dcterms:W3CDTF">2026-05-04T10:33:31+03:00</dcterms:modified>
</cp:coreProperties>
</file>

<file path=docProps/custom.xml><?xml version="1.0" encoding="utf-8"?>
<Properties xmlns="http://schemas.openxmlformats.org/officeDocument/2006/custom-properties" xmlns:vt="http://schemas.openxmlformats.org/officeDocument/2006/docPropsVTypes"/>
</file>