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نوبخت المنجم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نوبخت المنجم
</w:t>
      </w:r>
    </w:p>
    <w:p>
      <w:pPr/>
      <w:r>
        <w:rPr/>
        <w:t xml:space="preserve">ابن نوبخت المنجم سليمان بن إسماعيل بن علي بن نوبخت المنجم. كان شاعرا. وقد حجا أبا نواس. ذكره أبو عبيد الله المرزباني في معجم الشعراء ومن شعره: </w:t>
      </w:r>
    </w:p>
    <w:p/>
    <w:p>
      <w:pPr>
        <w:jc w:val="center"/>
      </w:pPr>
      <w:r>
        <w:rPr>
          <w:color w:val="ff0000"/>
        </w:rPr>
        <w:t xml:space="preserve">بأبي ريم قلـ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ـبي بأجفان مراض</w:t>
      </w:r>
    </w:p>
    <w:p/>
    <w:p>
      <w:pPr>
        <w:jc w:val="center"/>
      </w:pPr>
      <w:r>
        <w:rPr>
          <w:color w:val="ff0000"/>
        </w:rPr>
        <w:t xml:space="preserve">وده ود صحيح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وهو عني ذو انقباض</w:t>
      </w:r>
    </w:p>
    <w:p/>
    <w:p>
      <w:pPr>
        <w:jc w:val="center"/>
      </w:pPr>
      <w:r>
        <w:rPr>
          <w:color w:val="ff0000"/>
        </w:rPr>
        <w:t xml:space="preserve">وهو في الظاهر غضبا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 وفي الباطن راض</w:t>
      </w:r>
    </w:p>
    <w:p/>
    <w:p>
      <w:pPr>
        <w:jc w:val="center"/>
      </w:pPr>
      <w:r>
        <w:rPr>
          <w:color w:val="ff0000"/>
        </w:rPr>
        <w:t xml:space="preserve">فمتى ينتصف المظـ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ـلوم والظالم قاض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2026-06-21T17:08:03+03:00</dcterms:created>
  <dcterms:modified xsi:type="dcterms:W3CDTF">2026-06-21T17:08:03+03:00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