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الأطعاني
</w:t>
      </w:r>
    </w:p>
    <w:p>
      <w:pPr>
        <w:jc w:val="start"/>
        <w:bidi/>
      </w:pPr>
      <w:r>
        <w:rPr>
          <w:rFonts w:ascii="arial" w:hAnsi="arial" w:eastAsia="arial" w:cs="arial"/>
          <w:sz w:val="28"/>
          <w:szCs w:val="28"/>
          <w:b w:val="1"/>
          <w:bCs w:val="1"/>
          <w:rtl/>
        </w:rPr>
        <w:t xml:space="preserve">ابن الأطعاني
</w:t>
      </w:r>
    </w:p>
    <w:p>
      <w:pPr/>
      <w:r>
        <w:rPr/>
        <w:t xml:space="preserve">ابن الأطعاني  محمد بن أحمد بن الحلبي البسطامي، شمس الدين ابن الاطعاني: فاضل متصوف. مولده ووفاته في حلب. عرضت عليه نيابة القضاء فامتنع. وتزهد. وسافر إلى القدس فلبس خرقه التصوف من عبد الله البسطامي. وجاور بمكة مرارا، له ’’ روضة الحبور ومعدن السرور في مناقب أبي يزيد البسطامي والجنيد البغدادي - خ) في معهد المخطوطات (268 تاريخ) كتبه سنة 799 و (تذكرة المريد) و (تحفة الطالب المستهام في رؤية النبي عليه السلام و (بغية الطالب لاعز المطالب - خ) رسالة في دار الكتب (23265 ب) ضمن مجموعة، و (مقدمة في أصول الدين - خ) في الاسكوريال (608. ) 1 () Cas I. </w:t>
      </w:r>
    </w:p>
    <w:p>
      <w:pPr>
        <w:jc w:val="start"/>
        <w:bidi/>
      </w:pPr>
      <w:r>
        <w:rPr>
          <w:sz w:val="24"/>
          <w:szCs w:val="24"/>
          <w:b w:val="1"/>
          <w:bCs w:val="1"/>
          <w:rtl/>
        </w:rPr>
        <w:t xml:space="preserve">
الأعلام،(دار العلم للملايين - بيروت،2002،ط 15،ج 5،ص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2026-05-04T09:31:28+03:00</dcterms:created>
  <dcterms:modified xsi:type="dcterms:W3CDTF">2026-05-04T09:31:28+03:00</dcterms:modified>
</cp:coreProperties>
</file>

<file path=docProps/custom.xml><?xml version="1.0" encoding="utf-8"?>
<Properties xmlns="http://schemas.openxmlformats.org/officeDocument/2006/custom-properties" xmlns:vt="http://schemas.openxmlformats.org/officeDocument/2006/docPropsVTypes"/>
</file>