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الركن
</w:t>
      </w:r>
    </w:p>
    <w:p>
      <w:pPr>
        <w:jc w:val="start"/>
        <w:bidi/>
      </w:pPr>
      <w:r>
        <w:rPr>
          <w:rFonts w:ascii="arial" w:hAnsi="arial" w:eastAsia="arial" w:cs="arial"/>
          <w:sz w:val="28"/>
          <w:szCs w:val="28"/>
          <w:b w:val="1"/>
          <w:bCs w:val="1"/>
          <w:rtl/>
        </w:rPr>
        <w:t xml:space="preserve">ابن الركن
</w:t>
      </w:r>
    </w:p>
    <w:p>
      <w:pPr/>
      <w:r>
        <w:rPr/>
        <w:t xml:space="preserve">ابن الركن  محمد بن أحمد بن علي بن سليمان، أبو عبد الله شمس الدين ابن الركن، المعري الحلبي، الشافعي: أديب تنوخي، ينتسب إلى عم لابن العلاء. تعلم بالمعرة وبدمشق. وولي الخطابة بجامع حلب. وأنشأ ’’ خطبا ’’ في مجلدة. وكتب بخطه كتبا كبيرة. وصنف كتبا، منها ’’ بهجة السرور في غرائب المنظوم والمنثور - خ) يظن أنه بخطه، في دار الكتب مصورا عن أحمد الثالث (2294) و (الدرة الخفية في الالغاز العربية) و (روضة الافكار في غرر الحكايات والاخبار - خ) في شستربتي 4158 رآه السخاوي وقال: كتب على ظهره قريب له أنه مات مقتولا شهيدا على يد تمر لنك لكونه لقيه بكلام شديد. </w:t>
      </w:r>
    </w:p>
    <w:p>
      <w:pPr>
        <w:jc w:val="start"/>
        <w:bidi/>
      </w:pPr>
      <w:r>
        <w:rPr>
          <w:sz w:val="24"/>
          <w:szCs w:val="24"/>
          <w:b w:val="1"/>
          <w:bCs w:val="1"/>
          <w:rtl/>
        </w:rPr>
        <w:t xml:space="preserve">
الأعلام،(دار العلم للملايين - بيروت،2002،ط 15،ج 5،ص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2026-05-04T09:21:50+03:00</dcterms:created>
  <dcterms:modified xsi:type="dcterms:W3CDTF">2026-05-04T09:21:50+03:00</dcterms:modified>
</cp:coreProperties>
</file>

<file path=docProps/custom.xml><?xml version="1.0" encoding="utf-8"?>
<Properties xmlns="http://schemas.openxmlformats.org/officeDocument/2006/custom-properties" xmlns:vt="http://schemas.openxmlformats.org/officeDocument/2006/docPropsVTypes"/>
</file>