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الربوة
</w:t>
      </w:r>
    </w:p>
    <w:p>
      <w:pPr>
        <w:jc w:val="start"/>
        <w:bidi/>
      </w:pPr>
      <w:r>
        <w:rPr>
          <w:rFonts w:ascii="arial" w:hAnsi="arial" w:eastAsia="arial" w:cs="arial"/>
          <w:sz w:val="28"/>
          <w:szCs w:val="28"/>
          <w:b w:val="1"/>
          <w:bCs w:val="1"/>
          <w:rtl/>
        </w:rPr>
        <w:t xml:space="preserve">ابن الربوة
</w:t>
      </w:r>
    </w:p>
    <w:p>
      <w:pPr/>
      <w:r>
        <w:rPr/>
        <w:t xml:space="preserve">ابن الربوة  محمد بن أحمد بن عبد العزيز القونوي الدمشقي، ناصر الدين، المعروف بأبن الربوة: فقيه حنفي. اصله من قونية، ومولده ووفاته في دمشق. من كتبه (الدر المنير في حل اشكال الكبير)و (شرح قدس الاسرار في اختصار المنار –خ) و (المواهب المكية في شرح فرائض السراجية) وغير ذلك.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ابن الربوة
</w:t>
      </w:r>
    </w:p>
    <w:p>
      <w:pPr/>
      <w:r>
        <w:rPr/>
        <w:t xml:space="preserve">محمد بن أحمد، ابن الربوة ومحمد بن أحمد بن عبد العزيز، ناصر الدين الفيومي، ثم الدمشقي، المعروف بـ’’ابن الربوة’’.</w:t>
      </w:r>
    </w:p>
    <w:p/>
    <w:p>
      <w:pPr/>
      <w:r>
        <w:rPr/>
        <w:t xml:space="preserve">أتقن الفقه، والعربية، والفرائض، وشرح ’’الجامع الكبير’’ وسماه ’’الدر المنير في حل إشكال الجامع الكبير’’ وشرح ’’المنار’’ واختصر ’’الأصل’’ وسماه ’’قدس الأسرار’’. وله كتاب ’’المواهب المكية في شرح الفرائض السراجية’’.</w:t>
      </w:r>
    </w:p>
    <w:p/>
    <w:p>
      <w:pPr/>
      <w:r>
        <w:rPr/>
        <w:t xml:space="preserve">قال ابن حبيب: كان عالما، نافعا، خطيبا، بارعا، فقيها، فاضلا، مناظرا، مناظرا، مناضلا.</w:t>
      </w:r>
    </w:p>
    <w:p/>
    <w:p>
      <w:pPr/>
      <w:r>
        <w:rPr/>
        <w:t xml:space="preserve">شرح ’’السراجية’’ وكتاب ’’المنار’’ ودرس بمقدمية دمشق مقدما على الأعيان الكبار.</w:t>
      </w:r>
    </w:p>
    <w:p/>
    <w:p>
      <w:pPr/>
      <w:r>
        <w:rPr/>
        <w:t xml:space="preserve">توفي سنة أربع وستين وسبعمائة.</w:t>
      </w:r>
    </w:p>
    <w:p>
      <w:pPr>
        <w:jc w:val="start"/>
        <w:bidi/>
      </w:pPr>
      <w:r>
        <w:rPr>
          <w:sz w:val="24"/>
          <w:szCs w:val="24"/>
          <w:b w:val="1"/>
          <w:bCs w:val="1"/>
          <w:rtl/>
        </w:rPr>
        <w:t xml:space="preserve">
تاج التراجم في طبقات الحنفية،(دار القلم - دمشق،1992،ط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الربوة
</w:t>
      </w:r>
    </w:p>
    <w:p>
      <w:pPr/>
      <w:r>
        <w:rPr/>
        <w:t xml:space="preserve">ابن الربوة  محمد بن أحمد.</w:t>
      </w:r>
    </w:p>
    <w:p>
      <w:pPr>
        <w:jc w:val="start"/>
        <w:bidi/>
      </w:pPr>
      <w:r>
        <w:rPr>
          <w:sz w:val="24"/>
          <w:szCs w:val="24"/>
          <w:b w:val="1"/>
          <w:bCs w:val="1"/>
          <w:rtl/>
        </w:rPr>
        <w:t xml:space="preserve">
تاج التراجم في طبقات الحنفية،(دار القلم - دمشق،1992،ط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الدمشقي
</w:t>
      </w:r>
    </w:p>
    <w:p>
      <w:pPr/>
      <w:r>
        <w:rPr/>
        <w:t xml:space="preserve">محمد بن أحمد بن عبد العزيز الدمشقي محمد بن أحمد بن عبد العزيز الدمشقي الشيخ ناصر الدين القونوي المعروف بالربوة الفقيه الحنفي ولد كما كتب بخطه في أول سنة 679 واشتغل بالعلم وتفقه وأفتى ودرس وأعاد بمدارس وكان مدرس المقدمية داخل باب الفراديس وخطيب الجامع اليلبغاوي واختصر المنار في أصول الفقه وشرحه وشرح الفرائض السراجية وكان من أعيان الحنفية ومات في جمادى الأولى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2026-05-04T09:23:52+03:00</dcterms:created>
  <dcterms:modified xsi:type="dcterms:W3CDTF">2026-05-04T09:23:52+03:00</dcterms:modified>
</cp:coreProperties>
</file>

<file path=docProps/custom.xml><?xml version="1.0" encoding="utf-8"?>
<Properties xmlns="http://schemas.openxmlformats.org/officeDocument/2006/custom-properties" xmlns:vt="http://schemas.openxmlformats.org/officeDocument/2006/docPropsVTypes"/>
</file>