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الأصباعي
</w:t>
      </w:r>
    </w:p>
    <w:p>
      <w:pPr/>
      <w:r>
        <w:rPr/>
        <w:t xml:space="preserve">الأصباعي سعيد بن سعيد الأصباعي، شاعر مليح الخط، قال محب الدين ابن النجار: قرأ بخطه من قصيدة له: </w:t>
      </w:r>
    </w:p>
    <w:p/>
    <w:p>
      <w:pPr>
        <w:jc w:val="center"/>
      </w:pPr>
      <w:r>
        <w:rPr>
          <w:color w:val="ff0000"/>
        </w:rPr>
        <w:t xml:space="preserve">كفى بي احتراقا أن قلبي لو اصطلت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النار أضناها وبينهما بعد</w:t>
      </w:r>
    </w:p>
    <w:p/>
    <w:p>
      <w:pPr>
        <w:jc w:val="center"/>
      </w:pPr>
      <w:r>
        <w:rPr>
          <w:color w:val="ff0000"/>
        </w:rPr>
        <w:t xml:space="preserve">وليس بصب من شكا الوجد قلبه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لحر ولكن من شكا قلبه الوجد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2026-06-13T19:09:26+03:00</dcterms:created>
  <dcterms:modified xsi:type="dcterms:W3CDTF">2026-06-13T19:09:26+03:00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