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ابن حديدة
</w:t>
      </w:r>
    </w:p>
    <w:p>
      <w:pPr>
        <w:jc w:val="start"/>
        <w:bidi/>
      </w:pPr>
      <w:r>
        <w:rPr>
          <w:rFonts w:ascii="arial" w:hAnsi="arial" w:eastAsia="arial" w:cs="arial"/>
          <w:sz w:val="28"/>
          <w:szCs w:val="28"/>
          <w:b w:val="1"/>
          <w:bCs w:val="1"/>
          <w:rtl/>
        </w:rPr>
        <w:t xml:space="preserve">الوزير ابن حديدة
</w:t>
      </w:r>
    </w:p>
    <w:p>
      <w:pPr/>
      <w:r>
        <w:rPr/>
        <w:t xml:space="preserve">الوزير ابن حديدة سعد بن علي بن أحمد بن الحسين الوزير معين الدين أبو المعالي الأنصاري البغدادي، عرف بابن حديدة. كان ذا مال وحشمة. استوزره الإمام الناصر سنة أربع وثمانين وخمس مائة. وكان أبو الفرج بن الجوزي يجلس بداره للوعظ إلى أن ولي الوزارة ابن مهدي وعزل ابن حديدة وقبض عليه وحبسه وعزم على تعذيبه. فبذل للمترسمين مالا جزيلا، وحلق لحيته وخرج في زي النساء وسافر إلى مراغة، ولم يزل بها إلى أن عزل ابن مهدي، فعاد إلى بيته، ولم يزل ملازما لبيته إلى أن مات سنة عشر وست مائة. وكان سمحا متواضعا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حديدة
</w:t>
      </w:r>
    </w:p>
    <w:p>
      <w:pPr/>
      <w:r>
        <w:rPr/>
        <w:t xml:space="preserve">الوزير ابن حديدة سعيد بن علي بن أحمد بن الحسين بن حديدة أبو المعالي الوزير. أصله من كرخ سر من رأى، يقال إنه من أولاد الأنصار، كان من ذوي اليسار الواسع والتقدم والوجاهة، نفذ مرارا رسولا من الديوان إلى بلاد الجبل والعراق، وقلده الناصر الوزارة، وقد تقدم في سعد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2026-06-10T11:15:24+03:00</dcterms:created>
  <dcterms:modified xsi:type="dcterms:W3CDTF">2026-06-10T11:15:24+03:00</dcterms:modified>
</cp:coreProperties>
</file>

<file path=docProps/custom.xml><?xml version="1.0" encoding="utf-8"?>
<Properties xmlns="http://schemas.openxmlformats.org/officeDocument/2006/custom-properties" xmlns:vt="http://schemas.openxmlformats.org/officeDocument/2006/docPropsVTypes"/>
</file>