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شعلة
</w:t>
      </w:r>
    </w:p>
    <w:p>
      <w:pPr>
        <w:jc w:val="start"/>
        <w:bidi/>
      </w:pPr>
      <w:r>
        <w:rPr>
          <w:rFonts w:ascii="arial" w:hAnsi="arial" w:eastAsia="arial" w:cs="arial"/>
          <w:sz w:val="28"/>
          <w:szCs w:val="28"/>
          <w:b w:val="1"/>
          <w:bCs w:val="1"/>
          <w:rtl/>
        </w:rPr>
        <w:t xml:space="preserve">محمد شعلة
</w:t>
      </w:r>
    </w:p>
    <w:p>
      <w:pPr/>
      <w:r>
        <w:rPr/>
        <w:t xml:space="preserve">محمد شعلة  محمد بن أحمد بن محمد الموصلي الحنبلي، أبو عبد الله، المعروف بشعلة، ويقال له ابن الموقع: فاضل، له علم بالقراآت وغيرها. كان أبوه موقعا عند ’’خير بك’’ كافل حلب. وهاجر محمد إلى القاهرة بعد زوال الدولة الجركسية. وتوفي بالموصل. من كتبه ’’ الشمعة المضية بنشر قراآت السبعة المرضية’’ منظومة رائية في نحو نصف الشاطبية، و’’شرح تصحيح المنهاج لابن قاضي عجلون’’ و’’التلويح بمعاني أسماء الله الحسنى الواردة في الصحيح ’’ و’’الفتح، لمغلق حزب الفتح’’ وهو شرح لحزب أستاذه أبي الحسن البكري، و’’كنز المعني في شرح حرز الأماني –ط’’ شرح للشاطبية في القراآت، و’’العنقود-خ’’قصيدة في النحو.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2026-05-04T08:18:41+03:00</dcterms:created>
  <dcterms:modified xsi:type="dcterms:W3CDTF">2026-05-04T08:18:41+03:00</dcterms:modified>
</cp:coreProperties>
</file>

<file path=docProps/custom.xml><?xml version="1.0" encoding="utf-8"?>
<Properties xmlns="http://schemas.openxmlformats.org/officeDocument/2006/custom-properties" xmlns:vt="http://schemas.openxmlformats.org/officeDocument/2006/docPropsVTypes"/>
</file>