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روح الحبشي
</w:t>
      </w:r>
    </w:p>
    <w:p>
      <w:pPr>
        <w:jc w:val="start"/>
        <w:bidi/>
      </w:pPr>
      <w:r>
        <w:rPr>
          <w:rFonts w:ascii="arial" w:hAnsi="arial" w:eastAsia="arial" w:cs="arial"/>
          <w:sz w:val="28"/>
          <w:szCs w:val="28"/>
          <w:b w:val="1"/>
          <w:bCs w:val="1"/>
          <w:rtl/>
        </w:rPr>
        <w:t xml:space="preserve">أبو روح الحبشي
</w:t>
      </w:r>
    </w:p>
    <w:p>
      <w:pPr/>
      <w:r>
        <w:rPr/>
        <w:t xml:space="preserve">أبو روح الحبشي ريحان بن عبد الله أبو روح الحبشي الحصني عتيق أبي المعالي المكي البغدادي. كان أحد عباد الله الصالحين الزهاد الصابرين على الفقر وكان ملازما للعبادة وسماع الحديث. سمع القاضي أبا بكر محمد بن عبد الباقي الأنصاري وإسماعيل بن أحمد بن عمر السمرقندي وعلي بن هبة الله بن عبد السلام وغيرهم. وحدث باليسير. وتوفي سنة ثلاث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2026-05-15T09:40:46+03:00</dcterms:created>
  <dcterms:modified xsi:type="dcterms:W3CDTF">2026-05-15T09:40:46+03:00</dcterms:modified>
</cp:coreProperties>
</file>

<file path=docProps/custom.xml><?xml version="1.0" encoding="utf-8"?>
<Properties xmlns="http://schemas.openxmlformats.org/officeDocument/2006/custom-properties" xmlns:vt="http://schemas.openxmlformats.org/officeDocument/2006/docPropsVTypes"/>
</file>